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E93C9" w14:textId="77777777" w:rsidR="00AB7B3B" w:rsidRPr="006A333B" w:rsidRDefault="00AB7B3B" w:rsidP="00B7746F">
      <w:pPr>
        <w:spacing w:line="480" w:lineRule="auto"/>
        <w:jc w:val="center"/>
        <w:rPr>
          <w:rFonts w:ascii="Times New Roman" w:hAnsi="Times New Roman" w:cs="Times New Roman"/>
          <w:color w:val="FF0000"/>
        </w:rPr>
      </w:pPr>
    </w:p>
    <w:p w14:paraId="4DA848B5" w14:textId="77777777" w:rsidR="00AB7B3B" w:rsidRDefault="00AB7B3B" w:rsidP="00B7746F">
      <w:pPr>
        <w:spacing w:line="480" w:lineRule="auto"/>
        <w:jc w:val="center"/>
        <w:rPr>
          <w:rFonts w:ascii="Times New Roman" w:hAnsi="Times New Roman" w:cs="Times New Roman"/>
        </w:rPr>
      </w:pPr>
    </w:p>
    <w:p w14:paraId="4BFA148E" w14:textId="77777777" w:rsidR="00AB7B3B" w:rsidRDefault="00AB7B3B" w:rsidP="00B7746F">
      <w:pPr>
        <w:spacing w:line="480" w:lineRule="auto"/>
        <w:jc w:val="center"/>
        <w:rPr>
          <w:rFonts w:ascii="Times New Roman" w:hAnsi="Times New Roman" w:cs="Times New Roman"/>
        </w:rPr>
      </w:pPr>
    </w:p>
    <w:p w14:paraId="53F36C64" w14:textId="77777777" w:rsidR="00AB7B3B" w:rsidRDefault="00AB7B3B" w:rsidP="00B7746F">
      <w:pPr>
        <w:spacing w:line="480" w:lineRule="auto"/>
        <w:jc w:val="center"/>
        <w:rPr>
          <w:rFonts w:ascii="Times New Roman" w:hAnsi="Times New Roman" w:cs="Times New Roman"/>
        </w:rPr>
      </w:pPr>
    </w:p>
    <w:p w14:paraId="3C922C3E" w14:textId="77777777" w:rsidR="00AB7B3B" w:rsidRDefault="00AB7B3B" w:rsidP="00B7746F">
      <w:pPr>
        <w:spacing w:line="480" w:lineRule="auto"/>
        <w:jc w:val="center"/>
        <w:rPr>
          <w:rFonts w:ascii="Times New Roman" w:hAnsi="Times New Roman" w:cs="Times New Roman"/>
        </w:rPr>
      </w:pPr>
    </w:p>
    <w:p w14:paraId="4EB82049" w14:textId="77777777" w:rsidR="00AB7B3B" w:rsidRDefault="00AB7B3B" w:rsidP="00B7746F">
      <w:pPr>
        <w:spacing w:line="480" w:lineRule="auto"/>
        <w:jc w:val="center"/>
        <w:rPr>
          <w:rFonts w:ascii="Times New Roman" w:hAnsi="Times New Roman" w:cs="Times New Roman"/>
        </w:rPr>
      </w:pPr>
    </w:p>
    <w:p w14:paraId="08BB8197" w14:textId="77777777" w:rsidR="00AB7B3B" w:rsidRDefault="00AB7B3B" w:rsidP="00B7746F">
      <w:pPr>
        <w:spacing w:line="480" w:lineRule="auto"/>
        <w:jc w:val="center"/>
        <w:rPr>
          <w:rFonts w:ascii="Times New Roman" w:hAnsi="Times New Roman" w:cs="Times New Roman"/>
        </w:rPr>
      </w:pPr>
    </w:p>
    <w:p w14:paraId="35328670" w14:textId="5BFBDA0A" w:rsidR="0037346A" w:rsidRDefault="00AB7B3B" w:rsidP="00B7746F">
      <w:pPr>
        <w:spacing w:line="480" w:lineRule="auto"/>
        <w:jc w:val="center"/>
        <w:rPr>
          <w:rFonts w:ascii="Times New Roman" w:hAnsi="Times New Roman" w:cs="Times New Roman"/>
        </w:rPr>
      </w:pPr>
      <w:r>
        <w:rPr>
          <w:rFonts w:ascii="Times New Roman" w:hAnsi="Times New Roman" w:cs="Times New Roman"/>
        </w:rPr>
        <w:t xml:space="preserve">THE RED BARN MURDER: A </w:t>
      </w:r>
      <w:r w:rsidR="00EA2745">
        <w:rPr>
          <w:rFonts w:ascii="Times New Roman" w:hAnsi="Times New Roman" w:cs="Times New Roman"/>
        </w:rPr>
        <w:t>VICTORIAN</w:t>
      </w:r>
      <w:r w:rsidR="00A37C63">
        <w:rPr>
          <w:rFonts w:ascii="Times New Roman" w:hAnsi="Times New Roman" w:cs="Times New Roman"/>
        </w:rPr>
        <w:t xml:space="preserve"> </w:t>
      </w:r>
      <w:r>
        <w:rPr>
          <w:rFonts w:ascii="Times New Roman" w:hAnsi="Times New Roman" w:cs="Times New Roman"/>
        </w:rPr>
        <w:t>SENSATION</w:t>
      </w:r>
    </w:p>
    <w:p w14:paraId="1C673501" w14:textId="77777777" w:rsidR="00AB7B3B" w:rsidRDefault="00AB7B3B" w:rsidP="00B7746F">
      <w:pPr>
        <w:spacing w:line="480" w:lineRule="auto"/>
        <w:jc w:val="center"/>
        <w:rPr>
          <w:rFonts w:ascii="Times New Roman" w:hAnsi="Times New Roman" w:cs="Times New Roman"/>
        </w:rPr>
      </w:pPr>
    </w:p>
    <w:p w14:paraId="3E693537" w14:textId="77777777" w:rsidR="00AB7B3B" w:rsidRDefault="00AB7B3B" w:rsidP="00B7746F">
      <w:pPr>
        <w:spacing w:line="480" w:lineRule="auto"/>
        <w:jc w:val="center"/>
        <w:rPr>
          <w:rFonts w:ascii="Times New Roman" w:hAnsi="Times New Roman" w:cs="Times New Roman"/>
        </w:rPr>
      </w:pPr>
    </w:p>
    <w:p w14:paraId="652B4E41" w14:textId="77777777" w:rsidR="00AB7B3B" w:rsidRDefault="00AB7B3B" w:rsidP="00B7746F">
      <w:pPr>
        <w:spacing w:line="480" w:lineRule="auto"/>
        <w:jc w:val="center"/>
        <w:rPr>
          <w:rFonts w:ascii="Times New Roman" w:hAnsi="Times New Roman" w:cs="Times New Roman"/>
        </w:rPr>
      </w:pPr>
    </w:p>
    <w:p w14:paraId="4965F432" w14:textId="77777777" w:rsidR="00AB7B3B" w:rsidRDefault="00AB7B3B" w:rsidP="00B7746F">
      <w:pPr>
        <w:spacing w:line="480" w:lineRule="auto"/>
        <w:jc w:val="center"/>
        <w:rPr>
          <w:rFonts w:ascii="Times New Roman" w:hAnsi="Times New Roman" w:cs="Times New Roman"/>
        </w:rPr>
      </w:pPr>
    </w:p>
    <w:p w14:paraId="6756012C" w14:textId="77777777" w:rsidR="00AB7B3B" w:rsidRDefault="00AB7B3B" w:rsidP="00B7746F">
      <w:pPr>
        <w:spacing w:line="480" w:lineRule="auto"/>
        <w:jc w:val="center"/>
        <w:rPr>
          <w:rFonts w:ascii="Times New Roman" w:hAnsi="Times New Roman" w:cs="Times New Roman"/>
        </w:rPr>
      </w:pPr>
    </w:p>
    <w:p w14:paraId="6977DB1C" w14:textId="77777777" w:rsidR="00AB7B3B" w:rsidRDefault="00AB7B3B" w:rsidP="00B7746F">
      <w:pPr>
        <w:spacing w:line="480" w:lineRule="auto"/>
        <w:jc w:val="center"/>
        <w:rPr>
          <w:rFonts w:ascii="Times New Roman" w:hAnsi="Times New Roman" w:cs="Times New Roman"/>
        </w:rPr>
      </w:pPr>
    </w:p>
    <w:p w14:paraId="361DB11E" w14:textId="77777777" w:rsidR="00AB7B3B" w:rsidRDefault="00AB7B3B" w:rsidP="00B7746F">
      <w:pPr>
        <w:spacing w:line="480" w:lineRule="auto"/>
        <w:jc w:val="center"/>
        <w:rPr>
          <w:rFonts w:ascii="Times New Roman" w:hAnsi="Times New Roman" w:cs="Times New Roman"/>
        </w:rPr>
      </w:pPr>
    </w:p>
    <w:p w14:paraId="2C208D9D" w14:textId="77777777" w:rsidR="00AB7B3B" w:rsidRDefault="00AB7B3B" w:rsidP="00B7746F">
      <w:pPr>
        <w:spacing w:line="480" w:lineRule="auto"/>
        <w:jc w:val="center"/>
        <w:rPr>
          <w:rFonts w:ascii="Times New Roman" w:hAnsi="Times New Roman" w:cs="Times New Roman"/>
        </w:rPr>
      </w:pPr>
    </w:p>
    <w:p w14:paraId="77E57EF9" w14:textId="77777777" w:rsidR="00AB7B3B" w:rsidRDefault="00AB7B3B" w:rsidP="00B7746F">
      <w:pPr>
        <w:spacing w:line="480" w:lineRule="auto"/>
        <w:jc w:val="center"/>
        <w:rPr>
          <w:rFonts w:ascii="Times New Roman" w:hAnsi="Times New Roman" w:cs="Times New Roman"/>
        </w:rPr>
      </w:pPr>
    </w:p>
    <w:p w14:paraId="6B8EE1AA" w14:textId="77777777" w:rsidR="00567912" w:rsidRDefault="00567912" w:rsidP="00B7746F">
      <w:pPr>
        <w:spacing w:line="480" w:lineRule="auto"/>
        <w:jc w:val="center"/>
        <w:rPr>
          <w:rFonts w:ascii="Times New Roman" w:hAnsi="Times New Roman" w:cs="Times New Roman"/>
        </w:rPr>
      </w:pPr>
    </w:p>
    <w:p w14:paraId="3A45067A" w14:textId="417EA40E" w:rsidR="00AB7B3B" w:rsidRDefault="00AB7B3B" w:rsidP="00567912">
      <w:pPr>
        <w:jc w:val="center"/>
        <w:rPr>
          <w:rFonts w:ascii="Times New Roman" w:hAnsi="Times New Roman" w:cs="Times New Roman"/>
        </w:rPr>
      </w:pPr>
      <w:r>
        <w:rPr>
          <w:rFonts w:ascii="Times New Roman" w:hAnsi="Times New Roman" w:cs="Times New Roman"/>
        </w:rPr>
        <w:t>Leah Parent</w:t>
      </w:r>
    </w:p>
    <w:p w14:paraId="05163F14" w14:textId="5764F7DB" w:rsidR="00AB7B3B" w:rsidRDefault="00AB7B3B" w:rsidP="00567912">
      <w:pPr>
        <w:jc w:val="center"/>
        <w:rPr>
          <w:rFonts w:ascii="Times New Roman" w:hAnsi="Times New Roman" w:cs="Times New Roman"/>
        </w:rPr>
      </w:pPr>
      <w:r>
        <w:rPr>
          <w:rFonts w:ascii="Times New Roman" w:hAnsi="Times New Roman" w:cs="Times New Roman"/>
        </w:rPr>
        <w:t>HI318: Crime, Sex, and Scandal in 19</w:t>
      </w:r>
      <w:r w:rsidRPr="00AB7B3B">
        <w:rPr>
          <w:rFonts w:ascii="Times New Roman" w:hAnsi="Times New Roman" w:cs="Times New Roman"/>
          <w:vertAlign w:val="superscript"/>
        </w:rPr>
        <w:t>th</w:t>
      </w:r>
      <w:r>
        <w:rPr>
          <w:rFonts w:ascii="Times New Roman" w:hAnsi="Times New Roman" w:cs="Times New Roman"/>
        </w:rPr>
        <w:t xml:space="preserve"> Century Britain </w:t>
      </w:r>
    </w:p>
    <w:p w14:paraId="6C10662B" w14:textId="7EF6E8E7" w:rsidR="00AB7B3B" w:rsidRDefault="00AB7B3B" w:rsidP="00567912">
      <w:pPr>
        <w:jc w:val="center"/>
        <w:rPr>
          <w:rFonts w:ascii="Times New Roman" w:hAnsi="Times New Roman" w:cs="Times New Roman"/>
        </w:rPr>
      </w:pPr>
      <w:r>
        <w:rPr>
          <w:rFonts w:ascii="Times New Roman" w:hAnsi="Times New Roman" w:cs="Times New Roman"/>
        </w:rPr>
        <w:t>November 28</w:t>
      </w:r>
      <w:r w:rsidRPr="00AB7B3B">
        <w:rPr>
          <w:rFonts w:ascii="Times New Roman" w:hAnsi="Times New Roman" w:cs="Times New Roman"/>
          <w:vertAlign w:val="superscript"/>
        </w:rPr>
        <w:t>th</w:t>
      </w:r>
      <w:r>
        <w:rPr>
          <w:rFonts w:ascii="Times New Roman" w:hAnsi="Times New Roman" w:cs="Times New Roman"/>
        </w:rPr>
        <w:t>, 2016</w:t>
      </w:r>
    </w:p>
    <w:p w14:paraId="326872FF" w14:textId="77777777" w:rsidR="00AB7B3B" w:rsidRDefault="00AB7B3B" w:rsidP="00B7746F">
      <w:pPr>
        <w:spacing w:line="480" w:lineRule="auto"/>
        <w:jc w:val="center"/>
        <w:rPr>
          <w:rFonts w:ascii="Times New Roman" w:hAnsi="Times New Roman" w:cs="Times New Roman"/>
        </w:rPr>
      </w:pPr>
    </w:p>
    <w:p w14:paraId="7E86B6E3" w14:textId="77777777" w:rsidR="00567912" w:rsidRDefault="00567912" w:rsidP="00B7746F">
      <w:pPr>
        <w:spacing w:line="480" w:lineRule="auto"/>
        <w:jc w:val="center"/>
        <w:rPr>
          <w:rFonts w:ascii="Times New Roman" w:hAnsi="Times New Roman" w:cs="Times New Roman"/>
        </w:rPr>
      </w:pPr>
    </w:p>
    <w:p w14:paraId="2B0F388E" w14:textId="77777777" w:rsidR="00835995" w:rsidRDefault="00835995" w:rsidP="004B11B5">
      <w:pPr>
        <w:spacing w:line="480" w:lineRule="auto"/>
        <w:rPr>
          <w:rFonts w:ascii="Times New Roman" w:hAnsi="Times New Roman" w:cs="Times New Roman"/>
        </w:rPr>
      </w:pPr>
    </w:p>
    <w:p w14:paraId="62C1684C" w14:textId="61E244E0" w:rsidR="00207126" w:rsidRPr="00411AD7" w:rsidRDefault="00835995" w:rsidP="004B11B5">
      <w:pPr>
        <w:spacing w:line="480" w:lineRule="auto"/>
        <w:rPr>
          <w:rFonts w:ascii="Times New Roman" w:hAnsi="Times New Roman" w:cs="Times New Roman"/>
        </w:rPr>
      </w:pPr>
      <w:r>
        <w:rPr>
          <w:rFonts w:ascii="Times New Roman" w:hAnsi="Times New Roman" w:cs="Times New Roman"/>
        </w:rPr>
        <w:lastRenderedPageBreak/>
        <w:tab/>
      </w:r>
      <w:r w:rsidR="005B7B38">
        <w:rPr>
          <w:rFonts w:ascii="Times New Roman" w:hAnsi="Times New Roman" w:cs="Times New Roman"/>
        </w:rPr>
        <w:t>19</w:t>
      </w:r>
      <w:r w:rsidR="005B7B38" w:rsidRPr="005B7B38">
        <w:rPr>
          <w:rFonts w:ascii="Times New Roman" w:hAnsi="Times New Roman" w:cs="Times New Roman"/>
          <w:vertAlign w:val="superscript"/>
        </w:rPr>
        <w:t>th</w:t>
      </w:r>
      <w:r w:rsidR="005B7B38">
        <w:rPr>
          <w:rFonts w:ascii="Times New Roman" w:hAnsi="Times New Roman" w:cs="Times New Roman"/>
        </w:rPr>
        <w:t xml:space="preserve"> century Britain was a time of social, economic and political change, not only in society as a whole, but specifically when it came to crime. </w:t>
      </w:r>
      <w:r w:rsidR="00207126" w:rsidRPr="00411AD7">
        <w:rPr>
          <w:rFonts w:ascii="Times New Roman" w:hAnsi="Times New Roman" w:cs="Times New Roman"/>
        </w:rPr>
        <w:t>The word “murder” alone would be enough to stop a crowd of Victorians and ha</w:t>
      </w:r>
      <w:r w:rsidR="005B7B38">
        <w:rPr>
          <w:rFonts w:ascii="Times New Roman" w:hAnsi="Times New Roman" w:cs="Times New Roman"/>
        </w:rPr>
        <w:t>ve them beg for more details</w:t>
      </w:r>
      <w:r w:rsidR="00207126" w:rsidRPr="00411AD7">
        <w:rPr>
          <w:rFonts w:ascii="Times New Roman" w:hAnsi="Times New Roman" w:cs="Times New Roman"/>
        </w:rPr>
        <w:t>. Crime was a sensational form of entertainment in Britain</w:t>
      </w:r>
      <w:r w:rsidR="00460538">
        <w:rPr>
          <w:rFonts w:ascii="Times New Roman" w:hAnsi="Times New Roman" w:cs="Times New Roman"/>
        </w:rPr>
        <w:t xml:space="preserve"> at this time</w:t>
      </w:r>
      <w:r w:rsidR="00207126" w:rsidRPr="00411AD7">
        <w:rPr>
          <w:rFonts w:ascii="Times New Roman" w:hAnsi="Times New Roman" w:cs="Times New Roman"/>
        </w:rPr>
        <w:t xml:space="preserve">, </w:t>
      </w:r>
      <w:r w:rsidR="006A333B">
        <w:rPr>
          <w:rFonts w:ascii="Times New Roman" w:hAnsi="Times New Roman" w:cs="Times New Roman"/>
        </w:rPr>
        <w:t xml:space="preserve">with </w:t>
      </w:r>
      <w:r w:rsidR="00207126" w:rsidRPr="00411AD7">
        <w:rPr>
          <w:rFonts w:ascii="Times New Roman" w:hAnsi="Times New Roman" w:cs="Times New Roman"/>
        </w:rPr>
        <w:t xml:space="preserve">murder </w:t>
      </w:r>
      <w:r w:rsidR="006A333B">
        <w:rPr>
          <w:rFonts w:ascii="Times New Roman" w:hAnsi="Times New Roman" w:cs="Times New Roman"/>
        </w:rPr>
        <w:t>cases attracting</w:t>
      </w:r>
      <w:r w:rsidR="00207126" w:rsidRPr="00411AD7">
        <w:rPr>
          <w:rFonts w:ascii="Times New Roman" w:hAnsi="Times New Roman" w:cs="Times New Roman"/>
        </w:rPr>
        <w:t xml:space="preserve"> the most attention. Stories of even the simplest murder would make its way into newspapers, </w:t>
      </w:r>
      <w:r w:rsidR="00207126" w:rsidRPr="00541159">
        <w:rPr>
          <w:rFonts w:ascii="Times New Roman" w:hAnsi="Times New Roman" w:cs="Times New Roman"/>
        </w:rPr>
        <w:t>broadsides and</w:t>
      </w:r>
      <w:r w:rsidR="0030368F" w:rsidRPr="00541159">
        <w:rPr>
          <w:rFonts w:ascii="Times New Roman" w:hAnsi="Times New Roman" w:cs="Times New Roman"/>
        </w:rPr>
        <w:t xml:space="preserve"> penny dreadfuls</w:t>
      </w:r>
      <w:r w:rsidR="00207126" w:rsidRPr="00541159">
        <w:rPr>
          <w:rFonts w:ascii="Times New Roman" w:hAnsi="Times New Roman" w:cs="Times New Roman"/>
        </w:rPr>
        <w:t>,</w:t>
      </w:r>
      <w:r w:rsidR="00207126" w:rsidRPr="00411AD7">
        <w:rPr>
          <w:rFonts w:ascii="Times New Roman" w:hAnsi="Times New Roman" w:cs="Times New Roman"/>
        </w:rPr>
        <w:t xml:space="preserve"> riddled with drama and in vivid details. </w:t>
      </w:r>
    </w:p>
    <w:p w14:paraId="2393F93A" w14:textId="1ED81D3D" w:rsidR="00DD29C6" w:rsidRPr="00411AD7" w:rsidRDefault="00930B49" w:rsidP="00B7746F">
      <w:pPr>
        <w:spacing w:line="480" w:lineRule="auto"/>
        <w:ind w:firstLine="720"/>
        <w:rPr>
          <w:rFonts w:ascii="Times New Roman" w:eastAsia="Times New Roman" w:hAnsi="Times New Roman" w:cs="Times New Roman"/>
        </w:rPr>
      </w:pPr>
      <w:proofErr w:type="spellStart"/>
      <w:r w:rsidRPr="00411AD7">
        <w:rPr>
          <w:rFonts w:ascii="Times New Roman" w:hAnsi="Times New Roman" w:cs="Times New Roman"/>
        </w:rPr>
        <w:t>Polstead</w:t>
      </w:r>
      <w:proofErr w:type="spellEnd"/>
      <w:r w:rsidRPr="00411AD7">
        <w:rPr>
          <w:rFonts w:ascii="Times New Roman" w:hAnsi="Times New Roman" w:cs="Times New Roman"/>
        </w:rPr>
        <w:t xml:space="preserve"> a</w:t>
      </w:r>
      <w:r w:rsidR="00B719F7">
        <w:rPr>
          <w:rFonts w:ascii="Times New Roman" w:hAnsi="Times New Roman" w:cs="Times New Roman"/>
        </w:rPr>
        <w:t>t the time was a small town of</w:t>
      </w:r>
      <w:r w:rsidR="0030368F">
        <w:rPr>
          <w:rFonts w:ascii="Times New Roman" w:hAnsi="Times New Roman" w:cs="Times New Roman"/>
        </w:rPr>
        <w:t xml:space="preserve"> 20 little homes</w:t>
      </w:r>
      <w:r w:rsidRPr="00411AD7">
        <w:rPr>
          <w:rFonts w:ascii="Times New Roman" w:hAnsi="Times New Roman" w:cs="Times New Roman"/>
        </w:rPr>
        <w:t>.</w:t>
      </w:r>
      <w:r w:rsidR="0030368F">
        <w:rPr>
          <w:rStyle w:val="FootnoteReference"/>
          <w:rFonts w:ascii="Times New Roman" w:hAnsi="Times New Roman" w:cs="Times New Roman"/>
        </w:rPr>
        <w:footnoteReference w:id="1"/>
      </w:r>
      <w:r w:rsidRPr="00411AD7">
        <w:rPr>
          <w:rFonts w:ascii="Times New Roman" w:hAnsi="Times New Roman" w:cs="Times New Roman"/>
        </w:rPr>
        <w:t xml:space="preserve"> </w:t>
      </w:r>
      <w:r w:rsidR="00DD29C6" w:rsidRPr="00411AD7">
        <w:rPr>
          <w:rFonts w:ascii="Times New Roman" w:hAnsi="Times New Roman" w:cs="Times New Roman"/>
        </w:rPr>
        <w:t xml:space="preserve">Maria Marten, daughter of a mole catcher, and William </w:t>
      </w:r>
      <w:proofErr w:type="spellStart"/>
      <w:r w:rsidR="00DD29C6" w:rsidRPr="00411AD7">
        <w:rPr>
          <w:rFonts w:ascii="Times New Roman" w:hAnsi="Times New Roman" w:cs="Times New Roman"/>
        </w:rPr>
        <w:t>Corder</w:t>
      </w:r>
      <w:proofErr w:type="spellEnd"/>
      <w:r w:rsidR="006A333B">
        <w:rPr>
          <w:rFonts w:ascii="Times New Roman" w:hAnsi="Times New Roman" w:cs="Times New Roman"/>
        </w:rPr>
        <w:t xml:space="preserve">, </w:t>
      </w:r>
      <w:proofErr w:type="gramStart"/>
      <w:r w:rsidR="006A333B">
        <w:rPr>
          <w:rFonts w:ascii="Times New Roman" w:hAnsi="Times New Roman" w:cs="Times New Roman"/>
        </w:rPr>
        <w:t>were</w:t>
      </w:r>
      <w:proofErr w:type="gramEnd"/>
      <w:r w:rsidR="006A333B">
        <w:rPr>
          <w:rFonts w:ascii="Times New Roman" w:hAnsi="Times New Roman" w:cs="Times New Roman"/>
        </w:rPr>
        <w:t xml:space="preserve"> unlikely lovers. Together they</w:t>
      </w:r>
      <w:r w:rsidR="00B719F7">
        <w:rPr>
          <w:rFonts w:ascii="Times New Roman" w:hAnsi="Times New Roman" w:cs="Times New Roman"/>
        </w:rPr>
        <w:t xml:space="preserve"> bore</w:t>
      </w:r>
      <w:r w:rsidR="00DD29C6" w:rsidRPr="00411AD7">
        <w:rPr>
          <w:rFonts w:ascii="Times New Roman" w:hAnsi="Times New Roman" w:cs="Times New Roman"/>
        </w:rPr>
        <w:t xml:space="preserve"> a child who died shortly after birth</w:t>
      </w:r>
      <w:r w:rsidR="00F47AE2">
        <w:rPr>
          <w:rStyle w:val="FootnoteReference"/>
          <w:rFonts w:ascii="Times New Roman" w:hAnsi="Times New Roman" w:cs="Times New Roman"/>
        </w:rPr>
        <w:footnoteReference w:id="2"/>
      </w:r>
      <w:r w:rsidR="00B719F7">
        <w:rPr>
          <w:rFonts w:ascii="Times New Roman" w:hAnsi="Times New Roman" w:cs="Times New Roman"/>
        </w:rPr>
        <w:t xml:space="preserve">. </w:t>
      </w:r>
      <w:proofErr w:type="spellStart"/>
      <w:r w:rsidR="00DD29C6" w:rsidRPr="00411AD7">
        <w:rPr>
          <w:rFonts w:ascii="Times New Roman" w:hAnsi="Times New Roman" w:cs="Times New Roman"/>
        </w:rPr>
        <w:t>Corder</w:t>
      </w:r>
      <w:proofErr w:type="spellEnd"/>
      <w:r w:rsidR="00B719F7">
        <w:rPr>
          <w:rFonts w:ascii="Times New Roman" w:hAnsi="Times New Roman" w:cs="Times New Roman"/>
        </w:rPr>
        <w:t>, while amenable to the idea,</w:t>
      </w:r>
      <w:r w:rsidR="00DD29C6" w:rsidRPr="00411AD7">
        <w:rPr>
          <w:rFonts w:ascii="Times New Roman" w:hAnsi="Times New Roman" w:cs="Times New Roman"/>
        </w:rPr>
        <w:t xml:space="preserve"> was pressured by Marten’s family to marry and support her. He lur</w:t>
      </w:r>
      <w:r w:rsidR="00C15180">
        <w:rPr>
          <w:rFonts w:ascii="Times New Roman" w:hAnsi="Times New Roman" w:cs="Times New Roman"/>
        </w:rPr>
        <w:t>ed her to the Red Barn, a residence</w:t>
      </w:r>
      <w:r w:rsidR="00DD29C6" w:rsidRPr="00411AD7">
        <w:rPr>
          <w:rFonts w:ascii="Times New Roman" w:hAnsi="Times New Roman" w:cs="Times New Roman"/>
        </w:rPr>
        <w:t xml:space="preserve"> on his property, under</w:t>
      </w:r>
      <w:r w:rsidR="00C15180">
        <w:rPr>
          <w:rFonts w:ascii="Times New Roman" w:hAnsi="Times New Roman" w:cs="Times New Roman"/>
        </w:rPr>
        <w:t xml:space="preserve"> the</w:t>
      </w:r>
      <w:r w:rsidR="00DD29C6" w:rsidRPr="00411AD7">
        <w:rPr>
          <w:rFonts w:ascii="Times New Roman" w:hAnsi="Times New Roman" w:cs="Times New Roman"/>
        </w:rPr>
        <w:t xml:space="preserve"> false pretence that he would take her to Ipswich where he would then marry her.</w:t>
      </w:r>
      <w:r w:rsidR="005F6B64">
        <w:rPr>
          <w:rStyle w:val="FootnoteReference"/>
          <w:rFonts w:ascii="Times New Roman" w:hAnsi="Times New Roman" w:cs="Times New Roman"/>
        </w:rPr>
        <w:footnoteReference w:id="3"/>
      </w:r>
      <w:r w:rsidR="00DD29C6" w:rsidRPr="00411AD7">
        <w:rPr>
          <w:rFonts w:ascii="Times New Roman" w:hAnsi="Times New Roman" w:cs="Times New Roman"/>
        </w:rPr>
        <w:t xml:space="preserve"> </w:t>
      </w:r>
      <w:r w:rsidR="0031696D">
        <w:rPr>
          <w:rFonts w:ascii="Times New Roman" w:hAnsi="Times New Roman" w:cs="Times New Roman"/>
        </w:rPr>
        <w:t xml:space="preserve">This was where the murder took place. </w:t>
      </w:r>
      <w:proofErr w:type="spellStart"/>
      <w:r w:rsidR="00DD29C6" w:rsidRPr="00411AD7">
        <w:rPr>
          <w:rFonts w:ascii="Times New Roman" w:hAnsi="Times New Roman" w:cs="Times New Roman"/>
        </w:rPr>
        <w:t>Corder</w:t>
      </w:r>
      <w:proofErr w:type="spellEnd"/>
      <w:r w:rsidR="00DD29C6" w:rsidRPr="00411AD7">
        <w:rPr>
          <w:rFonts w:ascii="Times New Roman" w:hAnsi="Times New Roman" w:cs="Times New Roman"/>
        </w:rPr>
        <w:t xml:space="preserve"> </w:t>
      </w:r>
      <w:r w:rsidR="0031696D">
        <w:rPr>
          <w:rFonts w:ascii="Times New Roman" w:hAnsi="Times New Roman" w:cs="Times New Roman"/>
        </w:rPr>
        <w:t xml:space="preserve">then </w:t>
      </w:r>
      <w:r w:rsidR="00DD29C6" w:rsidRPr="00411AD7">
        <w:rPr>
          <w:rFonts w:ascii="Times New Roman" w:hAnsi="Times New Roman" w:cs="Times New Roman"/>
        </w:rPr>
        <w:t>left the barn that day in pursui</w:t>
      </w:r>
      <w:r w:rsidR="00807C83" w:rsidRPr="00411AD7">
        <w:rPr>
          <w:rFonts w:ascii="Times New Roman" w:hAnsi="Times New Roman" w:cs="Times New Roman"/>
        </w:rPr>
        <w:t>t of another family in</w:t>
      </w:r>
      <w:r w:rsidR="005F6B64">
        <w:rPr>
          <w:rFonts w:ascii="Times New Roman" w:hAnsi="Times New Roman" w:cs="Times New Roman"/>
        </w:rPr>
        <w:t xml:space="preserve"> </w:t>
      </w:r>
      <w:proofErr w:type="spellStart"/>
      <w:r w:rsidR="005F6B64">
        <w:rPr>
          <w:rFonts w:ascii="Times New Roman" w:hAnsi="Times New Roman" w:cs="Times New Roman"/>
        </w:rPr>
        <w:t>Brentford</w:t>
      </w:r>
      <w:proofErr w:type="spellEnd"/>
      <w:r w:rsidR="00E645A5">
        <w:rPr>
          <w:rFonts w:ascii="Times New Roman" w:hAnsi="Times New Roman" w:cs="Times New Roman"/>
        </w:rPr>
        <w:t>.</w:t>
      </w:r>
      <w:r w:rsidR="005F6B64">
        <w:rPr>
          <w:rStyle w:val="FootnoteReference"/>
          <w:rFonts w:ascii="Times New Roman" w:hAnsi="Times New Roman" w:cs="Times New Roman"/>
        </w:rPr>
        <w:footnoteReference w:id="4"/>
      </w:r>
      <w:r w:rsidR="00DD29C6" w:rsidRPr="00411AD7">
        <w:rPr>
          <w:rFonts w:ascii="Times New Roman" w:hAnsi="Times New Roman" w:cs="Times New Roman"/>
        </w:rPr>
        <w:t xml:space="preserve"> </w:t>
      </w:r>
      <w:r w:rsidR="003009F7" w:rsidRPr="00411AD7">
        <w:rPr>
          <w:rFonts w:ascii="Times New Roman" w:hAnsi="Times New Roman" w:cs="Times New Roman"/>
        </w:rPr>
        <w:t xml:space="preserve">Her body was </w:t>
      </w:r>
      <w:r w:rsidR="003009F7" w:rsidRPr="00411AD7">
        <w:rPr>
          <w:rFonts w:ascii="Times New Roman" w:eastAsia="Times New Roman" w:hAnsi="Times New Roman" w:cs="Times New Roman"/>
        </w:rPr>
        <w:t>f</w:t>
      </w:r>
      <w:r w:rsidR="005F6B64">
        <w:rPr>
          <w:rFonts w:ascii="Times New Roman" w:eastAsia="Times New Roman" w:hAnsi="Times New Roman" w:cs="Times New Roman"/>
        </w:rPr>
        <w:t>ound 11 months after her murder.</w:t>
      </w:r>
      <w:r w:rsidR="005F6B64">
        <w:rPr>
          <w:rStyle w:val="FootnoteReference"/>
          <w:rFonts w:ascii="Times New Roman" w:eastAsia="Times New Roman" w:hAnsi="Times New Roman" w:cs="Times New Roman"/>
        </w:rPr>
        <w:footnoteReference w:id="5"/>
      </w:r>
      <w:r w:rsidR="005F6B64">
        <w:rPr>
          <w:rFonts w:ascii="Times New Roman" w:eastAsia="Times New Roman" w:hAnsi="Times New Roman" w:cs="Times New Roman"/>
        </w:rPr>
        <w:t xml:space="preserve"> </w:t>
      </w:r>
      <w:r w:rsidR="00DD5682">
        <w:rPr>
          <w:rFonts w:ascii="Times New Roman" w:eastAsia="Times New Roman" w:hAnsi="Times New Roman" w:cs="Times New Roman"/>
        </w:rPr>
        <w:t>Due to the location, the murder was deemed the “Red Barn Murder”, a name that has lasted through time.</w:t>
      </w:r>
    </w:p>
    <w:p w14:paraId="702EE92C" w14:textId="07F476FD" w:rsidR="00DD29C6" w:rsidRPr="00411AD7" w:rsidRDefault="00DD29C6" w:rsidP="00B7746F">
      <w:pPr>
        <w:spacing w:line="480" w:lineRule="auto"/>
        <w:ind w:firstLine="720"/>
        <w:rPr>
          <w:rFonts w:ascii="Times New Roman" w:hAnsi="Times New Roman" w:cs="Times New Roman"/>
        </w:rPr>
      </w:pPr>
      <w:r w:rsidRPr="00411AD7">
        <w:rPr>
          <w:rFonts w:ascii="Times New Roman" w:hAnsi="Times New Roman" w:cs="Times New Roman"/>
        </w:rPr>
        <w:t xml:space="preserve">The murder of Maria Marten by William </w:t>
      </w:r>
      <w:proofErr w:type="spellStart"/>
      <w:r w:rsidRPr="00411AD7">
        <w:rPr>
          <w:rFonts w:ascii="Times New Roman" w:hAnsi="Times New Roman" w:cs="Times New Roman"/>
        </w:rPr>
        <w:t>Corder</w:t>
      </w:r>
      <w:proofErr w:type="spellEnd"/>
      <w:r w:rsidRPr="00411AD7">
        <w:rPr>
          <w:rFonts w:ascii="Times New Roman" w:hAnsi="Times New Roman" w:cs="Times New Roman"/>
        </w:rPr>
        <w:t xml:space="preserve"> in 1827 drew so much att</w:t>
      </w:r>
      <w:r w:rsidR="0031696D">
        <w:rPr>
          <w:rFonts w:ascii="Times New Roman" w:hAnsi="Times New Roman" w:cs="Times New Roman"/>
        </w:rPr>
        <w:t>ention and spectacle, that her</w:t>
      </w:r>
      <w:r w:rsidRPr="00411AD7">
        <w:rPr>
          <w:rFonts w:ascii="Times New Roman" w:hAnsi="Times New Roman" w:cs="Times New Roman"/>
        </w:rPr>
        <w:t xml:space="preserve"> story was turned into books, plays, paintings, ballads, puppet shows, etc. Som</w:t>
      </w:r>
      <w:r w:rsidR="0031696D">
        <w:rPr>
          <w:rFonts w:ascii="Times New Roman" w:hAnsi="Times New Roman" w:cs="Times New Roman"/>
        </w:rPr>
        <w:t>e of these took mere days after</w:t>
      </w:r>
      <w:r w:rsidRPr="00411AD7">
        <w:rPr>
          <w:rFonts w:ascii="Times New Roman" w:hAnsi="Times New Roman" w:cs="Times New Roman"/>
        </w:rPr>
        <w:t xml:space="preserve"> the execution of </w:t>
      </w:r>
      <w:proofErr w:type="spellStart"/>
      <w:r w:rsidRPr="00411AD7">
        <w:rPr>
          <w:rFonts w:ascii="Times New Roman" w:hAnsi="Times New Roman" w:cs="Times New Roman"/>
        </w:rPr>
        <w:t>Corder</w:t>
      </w:r>
      <w:proofErr w:type="spellEnd"/>
      <w:r w:rsidRPr="00411AD7">
        <w:rPr>
          <w:rFonts w:ascii="Times New Roman" w:hAnsi="Times New Roman" w:cs="Times New Roman"/>
        </w:rPr>
        <w:t xml:space="preserve"> to be released to the eager public. On the surface, there is nothing extraordinary about the murder, but it had a pr</w:t>
      </w:r>
      <w:r w:rsidR="00E7008A" w:rsidRPr="00411AD7">
        <w:rPr>
          <w:rFonts w:ascii="Times New Roman" w:hAnsi="Times New Roman" w:cs="Times New Roman"/>
        </w:rPr>
        <w:t>ofound impact on Victorian culture</w:t>
      </w:r>
      <w:r w:rsidRPr="00411AD7">
        <w:rPr>
          <w:rFonts w:ascii="Times New Roman" w:hAnsi="Times New Roman" w:cs="Times New Roman"/>
        </w:rPr>
        <w:t xml:space="preserve"> from the time of its occurrence and throughout the rest of the 19</w:t>
      </w:r>
      <w:r w:rsidRPr="00411AD7">
        <w:rPr>
          <w:rFonts w:ascii="Times New Roman" w:hAnsi="Times New Roman" w:cs="Times New Roman"/>
          <w:vertAlign w:val="superscript"/>
        </w:rPr>
        <w:t>th</w:t>
      </w:r>
      <w:r w:rsidRPr="00411AD7">
        <w:rPr>
          <w:rFonts w:ascii="Times New Roman" w:hAnsi="Times New Roman" w:cs="Times New Roman"/>
        </w:rPr>
        <w:t xml:space="preserve"> century.</w:t>
      </w:r>
      <w:r w:rsidR="00E7008A" w:rsidRPr="00411AD7">
        <w:rPr>
          <w:rFonts w:ascii="Times New Roman" w:hAnsi="Times New Roman" w:cs="Times New Roman"/>
        </w:rPr>
        <w:t xml:space="preserve"> The impact it had sheds light on numerous cultural and social ideas of the time and gives a window through</w:t>
      </w:r>
      <w:r w:rsidR="0031696D">
        <w:rPr>
          <w:rFonts w:ascii="Times New Roman" w:hAnsi="Times New Roman" w:cs="Times New Roman"/>
        </w:rPr>
        <w:t xml:space="preserve"> which historians can learn</w:t>
      </w:r>
      <w:r w:rsidR="00E7008A" w:rsidRPr="00411AD7">
        <w:rPr>
          <w:rFonts w:ascii="Times New Roman" w:hAnsi="Times New Roman" w:cs="Times New Roman"/>
        </w:rPr>
        <w:t xml:space="preserve"> more about the society at the time. </w:t>
      </w:r>
      <w:r w:rsidR="00E1630C" w:rsidRPr="00411AD7">
        <w:rPr>
          <w:rFonts w:ascii="Times New Roman" w:hAnsi="Times New Roman" w:cs="Times New Roman"/>
        </w:rPr>
        <w:t>Such themes include the sensation of murder itself (including executions and the courtrooms), domestic violence and murder, illegit</w:t>
      </w:r>
      <w:r w:rsidR="00C15180">
        <w:rPr>
          <w:rFonts w:ascii="Times New Roman" w:hAnsi="Times New Roman" w:cs="Times New Roman"/>
        </w:rPr>
        <w:t>imacy of</w:t>
      </w:r>
      <w:r w:rsidR="00B7746F">
        <w:rPr>
          <w:rFonts w:ascii="Times New Roman" w:hAnsi="Times New Roman" w:cs="Times New Roman"/>
        </w:rPr>
        <w:t xml:space="preserve"> childbirth and how </w:t>
      </w:r>
      <w:r w:rsidR="00E1630C" w:rsidRPr="00411AD7">
        <w:rPr>
          <w:rFonts w:ascii="Times New Roman" w:hAnsi="Times New Roman" w:cs="Times New Roman"/>
        </w:rPr>
        <w:t xml:space="preserve">media representations of crime served to satisfy the appetite of the curious, thrill-seeking Victorian. </w:t>
      </w:r>
    </w:p>
    <w:p w14:paraId="19296406" w14:textId="7CA241DF" w:rsidR="00D063C2" w:rsidRPr="00AD3486" w:rsidRDefault="00D063C2" w:rsidP="00D063C2">
      <w:pPr>
        <w:pStyle w:val="NoSpacing"/>
        <w:spacing w:line="480" w:lineRule="auto"/>
        <w:ind w:firstLine="720"/>
        <w:rPr>
          <w:rFonts w:ascii="Times New Roman" w:hAnsi="Times New Roman" w:cs="Times New Roman"/>
        </w:rPr>
      </w:pPr>
      <w:r w:rsidRPr="00AD3486">
        <w:rPr>
          <w:rFonts w:ascii="Times New Roman" w:hAnsi="Times New Roman" w:cs="Times New Roman"/>
        </w:rPr>
        <w:t xml:space="preserve">Victorians had an intense fascination with the mysterious and the unknown. They held a fascination with the proverbial </w:t>
      </w:r>
      <w:r w:rsidR="0031696D">
        <w:rPr>
          <w:rFonts w:ascii="Times New Roman" w:hAnsi="Times New Roman" w:cs="Times New Roman"/>
        </w:rPr>
        <w:t>“other”, including criminals,</w:t>
      </w:r>
      <w:r w:rsidRPr="00AD3486">
        <w:rPr>
          <w:rFonts w:ascii="Times New Roman" w:hAnsi="Times New Roman" w:cs="Times New Roman"/>
        </w:rPr>
        <w:t xml:space="preserve"> especially murderers. Victorians were both titillated and terrified of what they did not understand. They sought to</w:t>
      </w:r>
      <w:r w:rsidR="007A1E4A">
        <w:rPr>
          <w:rFonts w:ascii="Times New Roman" w:hAnsi="Times New Roman" w:cs="Times New Roman"/>
        </w:rPr>
        <w:t xml:space="preserve"> understand what made a person become</w:t>
      </w:r>
      <w:r w:rsidRPr="00AD3486">
        <w:rPr>
          <w:rFonts w:ascii="Times New Roman" w:hAnsi="Times New Roman" w:cs="Times New Roman"/>
        </w:rPr>
        <w:t xml:space="preserve"> a criminal, as labelling a criminal as a specific type</w:t>
      </w:r>
      <w:r w:rsidR="006C0E0A">
        <w:rPr>
          <w:rFonts w:ascii="Times New Roman" w:hAnsi="Times New Roman" w:cs="Times New Roman"/>
        </w:rPr>
        <w:t xml:space="preserve"> temporarily alleviated fears that</w:t>
      </w:r>
      <w:r w:rsidRPr="00AD3486">
        <w:rPr>
          <w:rFonts w:ascii="Times New Roman" w:hAnsi="Times New Roman" w:cs="Times New Roman"/>
        </w:rPr>
        <w:t xml:space="preserve"> criminals</w:t>
      </w:r>
      <w:r w:rsidR="006C0E0A">
        <w:rPr>
          <w:rFonts w:ascii="Times New Roman" w:hAnsi="Times New Roman" w:cs="Times New Roman"/>
        </w:rPr>
        <w:t xml:space="preserve"> might be lurking</w:t>
      </w:r>
      <w:r w:rsidRPr="00AD3486">
        <w:rPr>
          <w:rFonts w:ascii="Times New Roman" w:hAnsi="Times New Roman" w:cs="Times New Roman"/>
        </w:rPr>
        <w:t xml:space="preserve"> in eve</w:t>
      </w:r>
      <w:r w:rsidR="00C15180">
        <w:rPr>
          <w:rFonts w:ascii="Times New Roman" w:hAnsi="Times New Roman" w:cs="Times New Roman"/>
        </w:rPr>
        <w:t>ry corner and on every street in</w:t>
      </w:r>
      <w:r w:rsidRPr="00AD3486">
        <w:rPr>
          <w:rFonts w:ascii="Times New Roman" w:hAnsi="Times New Roman" w:cs="Times New Roman"/>
        </w:rPr>
        <w:t xml:space="preserve"> Britain. This curiosity prompted criminologists and anthropologists such as Cesare Lombroso to link criminal tendencies to a specific type of person, identifying genetics and phy</w:t>
      </w:r>
      <w:r w:rsidR="00541159">
        <w:rPr>
          <w:rFonts w:ascii="Times New Roman" w:hAnsi="Times New Roman" w:cs="Times New Roman"/>
        </w:rPr>
        <w:t>sical abnormalities</w:t>
      </w:r>
      <w:r w:rsidRPr="00AD3486">
        <w:rPr>
          <w:rFonts w:ascii="Times New Roman" w:hAnsi="Times New Roman" w:cs="Times New Roman"/>
        </w:rPr>
        <w:t>.</w:t>
      </w:r>
      <w:r w:rsidR="00541159">
        <w:rPr>
          <w:rStyle w:val="FootnoteReference"/>
          <w:rFonts w:ascii="Times New Roman" w:hAnsi="Times New Roman" w:cs="Times New Roman"/>
        </w:rPr>
        <w:footnoteReference w:id="6"/>
      </w:r>
      <w:r w:rsidRPr="00AD3486">
        <w:rPr>
          <w:rFonts w:ascii="Times New Roman" w:hAnsi="Times New Roman" w:cs="Times New Roman"/>
        </w:rPr>
        <w:t xml:space="preserve"> The fascination with the </w:t>
      </w:r>
      <w:r w:rsidR="006C0E0A">
        <w:rPr>
          <w:rFonts w:ascii="Times New Roman" w:hAnsi="Times New Roman" w:cs="Times New Roman"/>
        </w:rPr>
        <w:t xml:space="preserve">concept of a </w:t>
      </w:r>
      <w:r w:rsidRPr="00AD3486">
        <w:rPr>
          <w:rFonts w:ascii="Times New Roman" w:hAnsi="Times New Roman" w:cs="Times New Roman"/>
        </w:rPr>
        <w:t xml:space="preserve">criminal </w:t>
      </w:r>
      <w:r w:rsidR="006E3C4F">
        <w:rPr>
          <w:rFonts w:ascii="Times New Roman" w:hAnsi="Times New Roman" w:cs="Times New Roman"/>
        </w:rPr>
        <w:t xml:space="preserve">meant public fascination and attention </w:t>
      </w:r>
      <w:r w:rsidRPr="00AD3486">
        <w:rPr>
          <w:rFonts w:ascii="Times New Roman" w:hAnsi="Times New Roman" w:cs="Times New Roman"/>
        </w:rPr>
        <w:t xml:space="preserve">from the crime to the trial to the execution.  </w:t>
      </w:r>
    </w:p>
    <w:p w14:paraId="63EEF825" w14:textId="67DE78F0" w:rsidR="00D063C2" w:rsidRPr="00AD3486" w:rsidRDefault="00D063C2" w:rsidP="00D063C2">
      <w:pPr>
        <w:pStyle w:val="NoSpacing"/>
        <w:spacing w:line="480" w:lineRule="auto"/>
        <w:ind w:firstLine="720"/>
        <w:rPr>
          <w:rFonts w:ascii="Times New Roman" w:hAnsi="Times New Roman" w:cs="Times New Roman"/>
          <w:color w:val="353535"/>
          <w:lang w:val="en-US"/>
        </w:rPr>
      </w:pPr>
      <w:r w:rsidRPr="00AD3486">
        <w:rPr>
          <w:rFonts w:ascii="Times New Roman" w:hAnsi="Times New Roman" w:cs="Times New Roman"/>
          <w:color w:val="353535"/>
          <w:lang w:val="en-US"/>
        </w:rPr>
        <w:t xml:space="preserve">The Victorian people were enamored by the thrill of the courtroom and the melodrama that erupted from it. The trial of </w:t>
      </w:r>
      <w:proofErr w:type="spellStart"/>
      <w:r w:rsidRPr="00AD3486">
        <w:rPr>
          <w:rFonts w:ascii="Times New Roman" w:hAnsi="Times New Roman" w:cs="Times New Roman"/>
          <w:color w:val="353535"/>
          <w:lang w:val="en-US"/>
        </w:rPr>
        <w:t>Corder</w:t>
      </w:r>
      <w:proofErr w:type="spellEnd"/>
      <w:r w:rsidRPr="00AD3486">
        <w:rPr>
          <w:rFonts w:ascii="Times New Roman" w:hAnsi="Times New Roman" w:cs="Times New Roman"/>
          <w:color w:val="353535"/>
          <w:lang w:val="en-US"/>
        </w:rPr>
        <w:t xml:space="preserve"> vs. Marten was the quintessential battle be</w:t>
      </w:r>
      <w:r w:rsidR="00541159">
        <w:rPr>
          <w:rFonts w:ascii="Times New Roman" w:hAnsi="Times New Roman" w:cs="Times New Roman"/>
          <w:color w:val="353535"/>
          <w:lang w:val="en-US"/>
        </w:rPr>
        <w:t>tween good and evil.</w:t>
      </w:r>
      <w:r w:rsidR="00541159">
        <w:rPr>
          <w:rStyle w:val="FootnoteReference"/>
          <w:rFonts w:ascii="Times New Roman" w:hAnsi="Times New Roman" w:cs="Times New Roman"/>
          <w:color w:val="353535"/>
          <w:lang w:val="en-US"/>
        </w:rPr>
        <w:footnoteReference w:id="7"/>
      </w:r>
      <w:r w:rsidRPr="00AD3486">
        <w:rPr>
          <w:rFonts w:ascii="Times New Roman" w:hAnsi="Times New Roman" w:cs="Times New Roman"/>
          <w:color w:val="353535"/>
          <w:lang w:val="en-US"/>
        </w:rPr>
        <w:t xml:space="preserve"> Trials </w:t>
      </w:r>
      <w:r w:rsidRPr="00DD6BC6">
        <w:rPr>
          <w:rFonts w:ascii="Times New Roman" w:hAnsi="Times New Roman" w:cs="Times New Roman"/>
          <w:lang w:val="en-US"/>
        </w:rPr>
        <w:t xml:space="preserve">were </w:t>
      </w:r>
      <w:r w:rsidR="00C15180" w:rsidRPr="00DD6BC6">
        <w:rPr>
          <w:rFonts w:ascii="Times New Roman" w:hAnsi="Times New Roman" w:cs="Times New Roman"/>
          <w:lang w:val="en-US"/>
        </w:rPr>
        <w:t>sensational in that they</w:t>
      </w:r>
      <w:r w:rsidRPr="00DD6BC6">
        <w:rPr>
          <w:rFonts w:ascii="Times New Roman" w:hAnsi="Times New Roman" w:cs="Times New Roman"/>
          <w:lang w:val="en-US"/>
        </w:rPr>
        <w:t xml:space="preserve"> painted the accused as the abominable villain, </w:t>
      </w:r>
      <w:r w:rsidR="00DD6BC6" w:rsidRPr="00DD6BC6">
        <w:rPr>
          <w:rFonts w:ascii="Times New Roman" w:hAnsi="Times New Roman" w:cs="Times New Roman"/>
          <w:lang w:val="en-US"/>
        </w:rPr>
        <w:t>which gave the Victorians the chance</w:t>
      </w:r>
      <w:r w:rsidRPr="00DD6BC6">
        <w:rPr>
          <w:rFonts w:ascii="Times New Roman" w:hAnsi="Times New Roman" w:cs="Times New Roman"/>
          <w:lang w:val="en-US"/>
        </w:rPr>
        <w:t xml:space="preserve"> to point blame and assign a scapegoat for whatever type of atrocity they committed</w:t>
      </w:r>
      <w:r w:rsidR="00DD6BC6" w:rsidRPr="00DD6BC6">
        <w:rPr>
          <w:rFonts w:ascii="Times New Roman" w:hAnsi="Times New Roman" w:cs="Times New Roman"/>
          <w:lang w:val="en-US"/>
        </w:rPr>
        <w:t xml:space="preserve"> that threatened </w:t>
      </w:r>
      <w:r w:rsidRPr="00DD6BC6">
        <w:rPr>
          <w:rFonts w:ascii="Times New Roman" w:hAnsi="Times New Roman" w:cs="Times New Roman"/>
          <w:lang w:val="en-US"/>
        </w:rPr>
        <w:t>the social and cultural fabric of society.</w:t>
      </w:r>
      <w:r w:rsidRPr="00AD3486">
        <w:rPr>
          <w:rFonts w:ascii="Times New Roman" w:hAnsi="Times New Roman" w:cs="Times New Roman"/>
          <w:color w:val="353535"/>
          <w:lang w:val="en-US"/>
        </w:rPr>
        <w:t xml:space="preserve"> </w:t>
      </w:r>
      <w:r w:rsidR="00DD6BC6">
        <w:rPr>
          <w:rFonts w:ascii="Times New Roman" w:hAnsi="Times New Roman" w:cs="Times New Roman"/>
          <w:color w:val="353535"/>
          <w:lang w:val="en-US"/>
        </w:rPr>
        <w:t xml:space="preserve">As Walsh said, the </w:t>
      </w:r>
      <w:r w:rsidR="00DD6BC6" w:rsidRPr="00DD6BC6">
        <w:rPr>
          <w:rFonts w:ascii="Times New Roman" w:hAnsi="Times New Roman" w:cs="Times New Roman"/>
          <w:lang w:val="en-US"/>
        </w:rPr>
        <w:t xml:space="preserve">trials sensationalized the </w:t>
      </w:r>
      <w:r w:rsidRPr="00DD6BC6">
        <w:rPr>
          <w:rFonts w:ascii="Times New Roman" w:hAnsi="Times New Roman" w:cs="Times New Roman"/>
          <w:lang w:val="en-US"/>
        </w:rPr>
        <w:t>“</w:t>
      </w:r>
      <w:r w:rsidR="00DD6BC6" w:rsidRPr="00DD6BC6">
        <w:rPr>
          <w:rFonts w:ascii="Times New Roman" w:hAnsi="Times New Roman" w:cs="Times New Roman"/>
          <w:lang w:val="en-US"/>
        </w:rPr>
        <w:t>m</w:t>
      </w:r>
      <w:r w:rsidRPr="00DD6BC6">
        <w:rPr>
          <w:rFonts w:ascii="Times New Roman" w:hAnsi="Times New Roman" w:cs="Times New Roman"/>
          <w:lang w:val="en-US"/>
        </w:rPr>
        <w:t>oral polarity of vic</w:t>
      </w:r>
      <w:r w:rsidR="00541159">
        <w:rPr>
          <w:rFonts w:ascii="Times New Roman" w:hAnsi="Times New Roman" w:cs="Times New Roman"/>
          <w:lang w:val="en-US"/>
        </w:rPr>
        <w:t>tim and perpetrator.”</w:t>
      </w:r>
      <w:r w:rsidR="00EE0553">
        <w:rPr>
          <w:rFonts w:ascii="Times New Roman" w:hAnsi="Times New Roman" w:cs="Times New Roman"/>
          <w:lang w:val="en-US"/>
        </w:rPr>
        <w:t xml:space="preserve"> </w:t>
      </w:r>
      <w:r w:rsidR="00541159">
        <w:rPr>
          <w:rStyle w:val="FootnoteReference"/>
          <w:rFonts w:ascii="Times New Roman" w:hAnsi="Times New Roman" w:cs="Times New Roman"/>
          <w:lang w:val="en-US"/>
        </w:rPr>
        <w:footnoteReference w:id="8"/>
      </w:r>
    </w:p>
    <w:p w14:paraId="61B28599" w14:textId="532B501D" w:rsidR="00D063C2" w:rsidRPr="00AD3486" w:rsidRDefault="00D063C2" w:rsidP="00D063C2">
      <w:pPr>
        <w:pStyle w:val="NoSpacing"/>
        <w:spacing w:line="480" w:lineRule="auto"/>
        <w:ind w:firstLine="720"/>
        <w:rPr>
          <w:rFonts w:ascii="Times New Roman" w:hAnsi="Times New Roman" w:cs="Times New Roman"/>
          <w:color w:val="353535"/>
          <w:lang w:val="en-US"/>
        </w:rPr>
      </w:pPr>
      <w:r w:rsidRPr="00AD3486">
        <w:rPr>
          <w:rFonts w:ascii="Times New Roman" w:hAnsi="Times New Roman" w:cs="Times New Roman"/>
          <w:color w:val="353535"/>
          <w:lang w:val="en-US"/>
        </w:rPr>
        <w:t xml:space="preserve">Spectators began showing up at the courthouse as early as five o’clock in the morning, and when the members of the jury attempted to gain passage into the building, they had to bypass the hordes of people just hoping to catch a </w:t>
      </w:r>
      <w:r w:rsidR="00EE0553">
        <w:rPr>
          <w:rFonts w:ascii="Times New Roman" w:hAnsi="Times New Roman" w:cs="Times New Roman"/>
          <w:color w:val="353535"/>
          <w:lang w:val="en-US"/>
        </w:rPr>
        <w:t>glimpse of the trial</w:t>
      </w:r>
      <w:r w:rsidRPr="00AD3486">
        <w:rPr>
          <w:rFonts w:ascii="Times New Roman" w:hAnsi="Times New Roman" w:cs="Times New Roman"/>
          <w:color w:val="353535"/>
          <w:lang w:val="en-US"/>
        </w:rPr>
        <w:t>.</w:t>
      </w:r>
      <w:r w:rsidR="00224C95">
        <w:rPr>
          <w:rStyle w:val="FootnoteReference"/>
          <w:rFonts w:ascii="Times New Roman" w:hAnsi="Times New Roman" w:cs="Times New Roman"/>
          <w:color w:val="353535"/>
          <w:lang w:val="en-US"/>
        </w:rPr>
        <w:footnoteReference w:id="9"/>
      </w:r>
      <w:r w:rsidRPr="00AD3486">
        <w:rPr>
          <w:rFonts w:ascii="Times New Roman" w:hAnsi="Times New Roman" w:cs="Times New Roman"/>
          <w:color w:val="353535"/>
          <w:lang w:val="en-US"/>
        </w:rPr>
        <w:t xml:space="preserve"> The Times described it as “a force so tremendous as to risk the limbs of those who were not su</w:t>
      </w:r>
      <w:r w:rsidR="00224C95">
        <w:rPr>
          <w:rFonts w:ascii="Times New Roman" w:hAnsi="Times New Roman" w:cs="Times New Roman"/>
          <w:color w:val="353535"/>
          <w:lang w:val="en-US"/>
        </w:rPr>
        <w:t>fficiently athletic</w:t>
      </w:r>
      <w:r w:rsidRPr="00AD3486">
        <w:rPr>
          <w:rFonts w:ascii="Times New Roman" w:hAnsi="Times New Roman" w:cs="Times New Roman"/>
          <w:color w:val="353535"/>
          <w:lang w:val="en-US"/>
        </w:rPr>
        <w:t>.</w:t>
      </w:r>
      <w:r w:rsidR="00224C95">
        <w:rPr>
          <w:rStyle w:val="FootnoteReference"/>
          <w:rFonts w:ascii="Times New Roman" w:hAnsi="Times New Roman" w:cs="Times New Roman"/>
          <w:color w:val="353535"/>
          <w:lang w:val="en-US"/>
        </w:rPr>
        <w:footnoteReference w:id="10"/>
      </w:r>
      <w:r w:rsidRPr="00AD3486">
        <w:rPr>
          <w:rFonts w:ascii="Times New Roman" w:hAnsi="Times New Roman" w:cs="Times New Roman"/>
          <w:color w:val="353535"/>
          <w:lang w:val="en-US"/>
        </w:rPr>
        <w:t xml:space="preserve"> Souvenir hunters and dark tourists were heard exclaiming “poor thing”, “ill-fated girl” and “poor Maria” as well as “cold-blooded villain” and “cruel wretch” in r</w:t>
      </w:r>
      <w:r w:rsidR="00224C95">
        <w:rPr>
          <w:rFonts w:ascii="Times New Roman" w:hAnsi="Times New Roman" w:cs="Times New Roman"/>
          <w:color w:val="353535"/>
          <w:lang w:val="en-US"/>
        </w:rPr>
        <w:t xml:space="preserve">eference to </w:t>
      </w:r>
      <w:proofErr w:type="spellStart"/>
      <w:r w:rsidR="00224C95">
        <w:rPr>
          <w:rFonts w:ascii="Times New Roman" w:hAnsi="Times New Roman" w:cs="Times New Roman"/>
          <w:color w:val="353535"/>
          <w:lang w:val="en-US"/>
        </w:rPr>
        <w:t>Corder</w:t>
      </w:r>
      <w:proofErr w:type="spellEnd"/>
      <w:r w:rsidR="00224C95">
        <w:rPr>
          <w:rFonts w:ascii="Times New Roman" w:hAnsi="Times New Roman" w:cs="Times New Roman"/>
          <w:color w:val="353535"/>
          <w:lang w:val="en-US"/>
        </w:rPr>
        <w:t>.</w:t>
      </w:r>
      <w:r w:rsidR="00224C95">
        <w:rPr>
          <w:rStyle w:val="FootnoteReference"/>
          <w:rFonts w:ascii="Times New Roman" w:hAnsi="Times New Roman" w:cs="Times New Roman"/>
          <w:color w:val="353535"/>
          <w:lang w:val="en-US"/>
        </w:rPr>
        <w:footnoteReference w:id="11"/>
      </w:r>
      <w:r>
        <w:rPr>
          <w:rFonts w:ascii="Times New Roman" w:hAnsi="Times New Roman" w:cs="Times New Roman"/>
          <w:color w:val="353535"/>
          <w:lang w:val="en-US"/>
        </w:rPr>
        <w:t xml:space="preserve"> </w:t>
      </w:r>
      <w:proofErr w:type="spellStart"/>
      <w:r w:rsidRPr="00AD3486">
        <w:rPr>
          <w:rFonts w:ascii="Times New Roman" w:hAnsi="Times New Roman" w:cs="Times New Roman"/>
        </w:rPr>
        <w:t>Corder</w:t>
      </w:r>
      <w:proofErr w:type="spellEnd"/>
      <w:r w:rsidRPr="00AD3486">
        <w:rPr>
          <w:rFonts w:ascii="Times New Roman" w:hAnsi="Times New Roman" w:cs="Times New Roman"/>
        </w:rPr>
        <w:t xml:space="preserve"> was described a</w:t>
      </w:r>
      <w:r w:rsidR="00EA0580">
        <w:rPr>
          <w:rFonts w:ascii="Times New Roman" w:hAnsi="Times New Roman" w:cs="Times New Roman"/>
        </w:rPr>
        <w:t>s a ruthless monster</w:t>
      </w:r>
      <w:r w:rsidRPr="00AD3486">
        <w:rPr>
          <w:rFonts w:ascii="Times New Roman" w:hAnsi="Times New Roman" w:cs="Times New Roman"/>
        </w:rPr>
        <w:t>.</w:t>
      </w:r>
      <w:r w:rsidR="00EA0580">
        <w:rPr>
          <w:rStyle w:val="FootnoteReference"/>
          <w:rFonts w:ascii="Times New Roman" w:hAnsi="Times New Roman" w:cs="Times New Roman"/>
        </w:rPr>
        <w:footnoteReference w:id="12"/>
      </w:r>
      <w:r w:rsidRPr="00AD3486">
        <w:rPr>
          <w:rFonts w:ascii="Times New Roman" w:hAnsi="Times New Roman" w:cs="Times New Roman"/>
        </w:rPr>
        <w:t xml:space="preserve"> </w:t>
      </w:r>
      <w:r w:rsidRPr="00AD3486">
        <w:rPr>
          <w:rFonts w:ascii="Times New Roman" w:hAnsi="Times New Roman" w:cs="Times New Roman"/>
          <w:color w:val="353535"/>
          <w:lang w:val="en-US"/>
        </w:rPr>
        <w:t>The publ</w:t>
      </w:r>
      <w:r w:rsidR="00C15180">
        <w:rPr>
          <w:rFonts w:ascii="Times New Roman" w:hAnsi="Times New Roman" w:cs="Times New Roman"/>
          <w:color w:val="353535"/>
          <w:lang w:val="en-US"/>
        </w:rPr>
        <w:t xml:space="preserve">ic condemned </w:t>
      </w:r>
      <w:proofErr w:type="spellStart"/>
      <w:r w:rsidR="00C15180">
        <w:rPr>
          <w:rFonts w:ascii="Times New Roman" w:hAnsi="Times New Roman" w:cs="Times New Roman"/>
          <w:color w:val="353535"/>
          <w:lang w:val="en-US"/>
        </w:rPr>
        <w:t>Corder</w:t>
      </w:r>
      <w:proofErr w:type="spellEnd"/>
      <w:r w:rsidR="00C15180">
        <w:rPr>
          <w:rFonts w:ascii="Times New Roman" w:hAnsi="Times New Roman" w:cs="Times New Roman"/>
          <w:color w:val="353535"/>
          <w:lang w:val="en-US"/>
        </w:rPr>
        <w:t xml:space="preserve"> just as harshly</w:t>
      </w:r>
      <w:r w:rsidRPr="00AD3486">
        <w:rPr>
          <w:rFonts w:ascii="Times New Roman" w:hAnsi="Times New Roman" w:cs="Times New Roman"/>
          <w:color w:val="353535"/>
          <w:lang w:val="en-US"/>
        </w:rPr>
        <w:t xml:space="preserve"> as </w:t>
      </w:r>
      <w:r w:rsidRPr="00AD3486">
        <w:rPr>
          <w:rFonts w:ascii="Times New Roman" w:hAnsi="Times New Roman" w:cs="Times New Roman"/>
        </w:rPr>
        <w:t>the courts did.</w:t>
      </w:r>
      <w:r w:rsidR="00F02973">
        <w:rPr>
          <w:rFonts w:ascii="Times New Roman" w:hAnsi="Times New Roman" w:cs="Times New Roman"/>
        </w:rPr>
        <w:t xml:space="preserve"> </w:t>
      </w:r>
    </w:p>
    <w:p w14:paraId="18BC167A" w14:textId="45F5A31A" w:rsidR="00D063C2" w:rsidRPr="00AD3486" w:rsidRDefault="00D063C2" w:rsidP="00D063C2">
      <w:pPr>
        <w:pStyle w:val="NoSpacing"/>
        <w:spacing w:line="480" w:lineRule="auto"/>
        <w:ind w:firstLine="720"/>
        <w:rPr>
          <w:rFonts w:ascii="Times New Roman" w:hAnsi="Times New Roman" w:cs="Times New Roman"/>
        </w:rPr>
      </w:pPr>
      <w:r w:rsidRPr="00AD3486">
        <w:rPr>
          <w:rFonts w:ascii="Times New Roman" w:hAnsi="Times New Roman" w:cs="Times New Roman"/>
        </w:rPr>
        <w:t>The outside of the courthouse was so raucous the first day, that the police had to take measures the second day to ensure that there was no r</w:t>
      </w:r>
      <w:r w:rsidR="00EA0580">
        <w:rPr>
          <w:rFonts w:ascii="Times New Roman" w:hAnsi="Times New Roman" w:cs="Times New Roman"/>
        </w:rPr>
        <w:t>epeat of the chaos</w:t>
      </w:r>
      <w:r w:rsidRPr="00AD3486">
        <w:rPr>
          <w:rFonts w:ascii="Times New Roman" w:hAnsi="Times New Roman" w:cs="Times New Roman"/>
        </w:rPr>
        <w:t>.</w:t>
      </w:r>
      <w:r w:rsidR="00EA0580">
        <w:rPr>
          <w:rStyle w:val="FootnoteReference"/>
          <w:rFonts w:ascii="Times New Roman" w:hAnsi="Times New Roman" w:cs="Times New Roman"/>
        </w:rPr>
        <w:footnoteReference w:id="13"/>
      </w:r>
      <w:r w:rsidRPr="00AD3486">
        <w:rPr>
          <w:rFonts w:ascii="Times New Roman" w:hAnsi="Times New Roman" w:cs="Times New Roman"/>
        </w:rPr>
        <w:t xml:space="preserve"> The people were spirited before the trial even began. </w:t>
      </w:r>
    </w:p>
    <w:p w14:paraId="02B6FC46" w14:textId="3EDAFD17" w:rsidR="00D063C2" w:rsidRPr="00AD3486" w:rsidRDefault="00D063C2" w:rsidP="00D063C2">
      <w:pPr>
        <w:pStyle w:val="NoSpacing"/>
        <w:spacing w:line="480" w:lineRule="auto"/>
        <w:ind w:firstLine="720"/>
        <w:rPr>
          <w:rFonts w:ascii="Times New Roman" w:hAnsi="Times New Roman" w:cs="Times New Roman"/>
        </w:rPr>
      </w:pPr>
      <w:r w:rsidRPr="00AD3486">
        <w:rPr>
          <w:rFonts w:ascii="Times New Roman" w:hAnsi="Times New Roman" w:cs="Times New Roman"/>
        </w:rPr>
        <w:t xml:space="preserve">Rumours of </w:t>
      </w:r>
      <w:proofErr w:type="spellStart"/>
      <w:r w:rsidRPr="00AD3486">
        <w:rPr>
          <w:rFonts w:ascii="Times New Roman" w:hAnsi="Times New Roman" w:cs="Times New Roman"/>
        </w:rPr>
        <w:t>Corder’s</w:t>
      </w:r>
      <w:proofErr w:type="spellEnd"/>
      <w:r w:rsidRPr="00AD3486">
        <w:rPr>
          <w:rFonts w:ascii="Times New Roman" w:hAnsi="Times New Roman" w:cs="Times New Roman"/>
        </w:rPr>
        <w:t xml:space="preserve"> attempted suicide (although proved false after inquiry) mentioned in the Times would have prompted fur</w:t>
      </w:r>
      <w:r w:rsidR="0058365C">
        <w:rPr>
          <w:rFonts w:ascii="Times New Roman" w:hAnsi="Times New Roman" w:cs="Times New Roman"/>
        </w:rPr>
        <w:t>ther chatter amongst Victorians</w:t>
      </w:r>
      <w:r w:rsidR="0058365C">
        <w:rPr>
          <w:rStyle w:val="FootnoteReference"/>
          <w:rFonts w:ascii="Times New Roman" w:hAnsi="Times New Roman" w:cs="Times New Roman"/>
        </w:rPr>
        <w:footnoteReference w:id="14"/>
      </w:r>
      <w:r w:rsidR="0058365C">
        <w:rPr>
          <w:rFonts w:ascii="Times New Roman" w:hAnsi="Times New Roman" w:cs="Times New Roman"/>
        </w:rPr>
        <w:t xml:space="preserve"> </w:t>
      </w:r>
      <w:r w:rsidRPr="00AD3486">
        <w:rPr>
          <w:rFonts w:ascii="Times New Roman" w:hAnsi="Times New Roman" w:cs="Times New Roman"/>
        </w:rPr>
        <w:t>as suicide was illegal in all of England and Wales until 1961 (the Suicide Act) and was an uns</w:t>
      </w:r>
      <w:r w:rsidR="00767609">
        <w:rPr>
          <w:rFonts w:ascii="Times New Roman" w:hAnsi="Times New Roman" w:cs="Times New Roman"/>
        </w:rPr>
        <w:t>peakable deed</w:t>
      </w:r>
      <w:r w:rsidRPr="00AD3486">
        <w:rPr>
          <w:rFonts w:ascii="Times New Roman" w:hAnsi="Times New Roman" w:cs="Times New Roman"/>
        </w:rPr>
        <w:t>.</w:t>
      </w:r>
      <w:r w:rsidR="00767609">
        <w:rPr>
          <w:rStyle w:val="FootnoteReference"/>
          <w:rFonts w:ascii="Times New Roman" w:hAnsi="Times New Roman" w:cs="Times New Roman"/>
        </w:rPr>
        <w:footnoteReference w:id="15"/>
      </w:r>
      <w:r w:rsidRPr="00AD3486">
        <w:rPr>
          <w:rFonts w:ascii="Times New Roman" w:hAnsi="Times New Roman" w:cs="Times New Roman"/>
        </w:rPr>
        <w:t xml:space="preserve"> </w:t>
      </w:r>
    </w:p>
    <w:p w14:paraId="40F8B484" w14:textId="0C8C0FA8" w:rsidR="00D063C2" w:rsidRPr="00AD3486" w:rsidRDefault="00D063C2" w:rsidP="00D063C2">
      <w:pPr>
        <w:pStyle w:val="NoSpacing"/>
        <w:spacing w:line="480" w:lineRule="auto"/>
        <w:ind w:firstLine="720"/>
        <w:rPr>
          <w:rFonts w:ascii="Times New Roman" w:hAnsi="Times New Roman" w:cs="Times New Roman"/>
        </w:rPr>
      </w:pPr>
      <w:r w:rsidRPr="00AD3486">
        <w:rPr>
          <w:rFonts w:ascii="Times New Roman" w:hAnsi="Times New Roman" w:cs="Times New Roman"/>
        </w:rPr>
        <w:t xml:space="preserve">Public execution at the time was a kind of macabre entertainment in itself. Foucault described the violence of punishment as “one of the elements of its glory; the fact that the guilty man should moan and cry out under the blows is not a shameful side effect, it is the very ceremonial of justice being expressed </w:t>
      </w:r>
      <w:r w:rsidR="00CD59AB">
        <w:rPr>
          <w:rFonts w:ascii="Times New Roman" w:hAnsi="Times New Roman" w:cs="Times New Roman"/>
        </w:rPr>
        <w:t>in all its force</w:t>
      </w:r>
      <w:r w:rsidRPr="00AD3486">
        <w:rPr>
          <w:rFonts w:ascii="Times New Roman" w:hAnsi="Times New Roman" w:cs="Times New Roman"/>
        </w:rPr>
        <w:t>.</w:t>
      </w:r>
      <w:r w:rsidR="00CD59AB">
        <w:rPr>
          <w:rFonts w:ascii="Times New Roman" w:hAnsi="Times New Roman" w:cs="Times New Roman"/>
        </w:rPr>
        <w:t>”</w:t>
      </w:r>
      <w:r w:rsidR="00CD59AB">
        <w:rPr>
          <w:rStyle w:val="FootnoteReference"/>
          <w:rFonts w:ascii="Times New Roman" w:hAnsi="Times New Roman" w:cs="Times New Roman"/>
        </w:rPr>
        <w:footnoteReference w:id="16"/>
      </w:r>
      <w:r w:rsidRPr="00AD3486">
        <w:rPr>
          <w:rFonts w:ascii="Times New Roman" w:hAnsi="Times New Roman" w:cs="Times New Roman"/>
        </w:rPr>
        <w:t xml:space="preserve"> Thousands of people would clamour to watch as convicted criminals faced the hangman’s noose; to hear their last words and to see them drop to their </w:t>
      </w:r>
      <w:r w:rsidR="00AB20B6">
        <w:rPr>
          <w:rFonts w:ascii="Times New Roman" w:hAnsi="Times New Roman" w:cs="Times New Roman"/>
        </w:rPr>
        <w:t>un</w:t>
      </w:r>
      <w:r w:rsidRPr="00AD3486">
        <w:rPr>
          <w:rFonts w:ascii="Times New Roman" w:hAnsi="Times New Roman" w:cs="Times New Roman"/>
        </w:rPr>
        <w:t>ceremonious deaths. Such a spectacle was described as carnival humour an</w:t>
      </w:r>
      <w:r w:rsidR="00A6300D">
        <w:rPr>
          <w:rFonts w:ascii="Times New Roman" w:hAnsi="Times New Roman" w:cs="Times New Roman"/>
        </w:rPr>
        <w:t>d comic ineptitude</w:t>
      </w:r>
      <w:r w:rsidRPr="00AD3486">
        <w:rPr>
          <w:rFonts w:ascii="Times New Roman" w:hAnsi="Times New Roman" w:cs="Times New Roman"/>
        </w:rPr>
        <w:t>.</w:t>
      </w:r>
      <w:r w:rsidR="00A6300D">
        <w:rPr>
          <w:rStyle w:val="FootnoteReference"/>
          <w:rFonts w:ascii="Times New Roman" w:hAnsi="Times New Roman" w:cs="Times New Roman"/>
        </w:rPr>
        <w:footnoteReference w:id="17"/>
      </w:r>
      <w:r w:rsidRPr="00AD3486">
        <w:rPr>
          <w:rFonts w:ascii="Times New Roman" w:hAnsi="Times New Roman" w:cs="Times New Roman"/>
        </w:rPr>
        <w:t xml:space="preserve"> Newspaper depictions of the scenes were often accompanied with a grisly photo of the scene of the hanging, always surrounded by a large crowd of spectators, sometimes as far as the ey</w:t>
      </w:r>
      <w:r w:rsidR="00C15180">
        <w:rPr>
          <w:rFonts w:ascii="Times New Roman" w:hAnsi="Times New Roman" w:cs="Times New Roman"/>
        </w:rPr>
        <w:t>e could</w:t>
      </w:r>
      <w:r w:rsidRPr="00AD3486">
        <w:rPr>
          <w:rFonts w:ascii="Times New Roman" w:hAnsi="Times New Roman" w:cs="Times New Roman"/>
        </w:rPr>
        <w:t xml:space="preserve"> see. According to </w:t>
      </w:r>
      <w:proofErr w:type="spellStart"/>
      <w:r w:rsidRPr="00AD3486">
        <w:rPr>
          <w:rFonts w:ascii="Times New Roman" w:hAnsi="Times New Roman" w:cs="Times New Roman"/>
        </w:rPr>
        <w:t>Gatrell</w:t>
      </w:r>
      <w:proofErr w:type="spellEnd"/>
      <w:r w:rsidRPr="00AD3486">
        <w:rPr>
          <w:rFonts w:ascii="Times New Roman" w:hAnsi="Times New Roman" w:cs="Times New Roman"/>
        </w:rPr>
        <w:t xml:space="preserve">, “audiences of up to 100,000 were occasionally claimed in London, and of 30,000 or 40,000 quite often”. However, the average crowd ranged between three and seven </w:t>
      </w:r>
      <w:r w:rsidR="00C50AF6">
        <w:rPr>
          <w:rFonts w:ascii="Times New Roman" w:hAnsi="Times New Roman" w:cs="Times New Roman"/>
        </w:rPr>
        <w:t>thousand spectators</w:t>
      </w:r>
      <w:r w:rsidRPr="00AD3486">
        <w:rPr>
          <w:rFonts w:ascii="Times New Roman" w:hAnsi="Times New Roman" w:cs="Times New Roman"/>
        </w:rPr>
        <w:t>.</w:t>
      </w:r>
      <w:r w:rsidR="00C50AF6">
        <w:rPr>
          <w:rStyle w:val="FootnoteReference"/>
          <w:rFonts w:ascii="Times New Roman" w:hAnsi="Times New Roman" w:cs="Times New Roman"/>
        </w:rPr>
        <w:footnoteReference w:id="18"/>
      </w:r>
      <w:r w:rsidRPr="00AD3486">
        <w:rPr>
          <w:rFonts w:ascii="Times New Roman" w:hAnsi="Times New Roman" w:cs="Times New Roman"/>
        </w:rPr>
        <w:t xml:space="preserve"> Some 6,000 spectators turned up to witness the hanging of William </w:t>
      </w:r>
      <w:proofErr w:type="spellStart"/>
      <w:r w:rsidRPr="00AD3486">
        <w:rPr>
          <w:rFonts w:ascii="Times New Roman" w:hAnsi="Times New Roman" w:cs="Times New Roman"/>
        </w:rPr>
        <w:t>Corde</w:t>
      </w:r>
      <w:r w:rsidR="00BA6CBA">
        <w:rPr>
          <w:rFonts w:ascii="Times New Roman" w:hAnsi="Times New Roman" w:cs="Times New Roman"/>
        </w:rPr>
        <w:t>r</w:t>
      </w:r>
      <w:proofErr w:type="spellEnd"/>
      <w:r w:rsidR="00BA6CBA">
        <w:rPr>
          <w:rFonts w:ascii="Times New Roman" w:hAnsi="Times New Roman" w:cs="Times New Roman"/>
        </w:rPr>
        <w:t xml:space="preserve"> on August 11, 1828</w:t>
      </w:r>
      <w:r w:rsidRPr="00AD3486">
        <w:rPr>
          <w:rFonts w:ascii="Times New Roman" w:hAnsi="Times New Roman" w:cs="Times New Roman"/>
        </w:rPr>
        <w:t>.</w:t>
      </w:r>
      <w:r w:rsidR="00BA6CBA">
        <w:rPr>
          <w:rStyle w:val="FootnoteReference"/>
          <w:rFonts w:ascii="Times New Roman" w:hAnsi="Times New Roman" w:cs="Times New Roman"/>
        </w:rPr>
        <w:footnoteReference w:id="19"/>
      </w:r>
    </w:p>
    <w:p w14:paraId="2031F071" w14:textId="25DFFE88" w:rsidR="00D063C2" w:rsidRPr="00AD3486" w:rsidRDefault="00D063C2" w:rsidP="00D063C2">
      <w:pPr>
        <w:pStyle w:val="NoSpacing"/>
        <w:spacing w:line="480" w:lineRule="auto"/>
        <w:ind w:firstLine="720"/>
        <w:rPr>
          <w:rFonts w:ascii="Times New Roman" w:hAnsi="Times New Roman" w:cs="Times New Roman"/>
        </w:rPr>
      </w:pPr>
      <w:r w:rsidRPr="00AD3486">
        <w:rPr>
          <w:rFonts w:ascii="Times New Roman" w:hAnsi="Times New Roman" w:cs="Times New Roman"/>
        </w:rPr>
        <w:t>Hanging as a form of execution was popular in Britain beginning in the 16</w:t>
      </w:r>
      <w:r w:rsidRPr="00AD3486">
        <w:rPr>
          <w:rFonts w:ascii="Times New Roman" w:hAnsi="Times New Roman" w:cs="Times New Roman"/>
          <w:vertAlign w:val="superscript"/>
        </w:rPr>
        <w:t>th</w:t>
      </w:r>
      <w:r w:rsidRPr="00AD3486">
        <w:rPr>
          <w:rFonts w:ascii="Times New Roman" w:hAnsi="Times New Roman" w:cs="Times New Roman"/>
        </w:rPr>
        <w:t xml:space="preserve"> century. Between 1530 and 1630, 75,000 people </w:t>
      </w:r>
      <w:proofErr w:type="gramStart"/>
      <w:r w:rsidRPr="00AD3486">
        <w:rPr>
          <w:rFonts w:ascii="Times New Roman" w:hAnsi="Times New Roman" w:cs="Times New Roman"/>
        </w:rPr>
        <w:t>are thought to have been executed</w:t>
      </w:r>
      <w:proofErr w:type="gramEnd"/>
      <w:r w:rsidRPr="00AD3486">
        <w:rPr>
          <w:rFonts w:ascii="Times New Roman" w:hAnsi="Times New Roman" w:cs="Times New Roman"/>
        </w:rPr>
        <w:t xml:space="preserve"> by way of the hangman’s no</w:t>
      </w:r>
      <w:r w:rsidR="00537F50">
        <w:rPr>
          <w:rFonts w:ascii="Times New Roman" w:hAnsi="Times New Roman" w:cs="Times New Roman"/>
        </w:rPr>
        <w:t>ose or by beheading</w:t>
      </w:r>
      <w:r w:rsidRPr="00AD3486">
        <w:rPr>
          <w:rFonts w:ascii="Times New Roman" w:hAnsi="Times New Roman" w:cs="Times New Roman"/>
        </w:rPr>
        <w:t>.</w:t>
      </w:r>
      <w:r w:rsidR="00537F50">
        <w:rPr>
          <w:rStyle w:val="FootnoteReference"/>
          <w:rFonts w:ascii="Times New Roman" w:hAnsi="Times New Roman" w:cs="Times New Roman"/>
        </w:rPr>
        <w:footnoteReference w:id="20"/>
      </w:r>
      <w:r w:rsidRPr="00AD3486">
        <w:rPr>
          <w:rFonts w:ascii="Times New Roman" w:hAnsi="Times New Roman" w:cs="Times New Roman"/>
        </w:rPr>
        <w:t xml:space="preserve"> Though these rates declined over the hundreds of years following, it continued to be a popular form of entertainment. </w:t>
      </w:r>
      <w:proofErr w:type="spellStart"/>
      <w:r w:rsidRPr="00AD3486">
        <w:rPr>
          <w:rFonts w:ascii="Times New Roman" w:hAnsi="Times New Roman" w:cs="Times New Roman"/>
        </w:rPr>
        <w:t>Corder</w:t>
      </w:r>
      <w:proofErr w:type="spellEnd"/>
      <w:r w:rsidRPr="00AD3486">
        <w:rPr>
          <w:rFonts w:ascii="Times New Roman" w:hAnsi="Times New Roman" w:cs="Times New Roman"/>
        </w:rPr>
        <w:t xml:space="preserve"> was hung in 1828, one of 672 people hung in the 1820’s. Th</w:t>
      </w:r>
      <w:r w:rsidR="00C15180">
        <w:rPr>
          <w:rFonts w:ascii="Times New Roman" w:hAnsi="Times New Roman" w:cs="Times New Roman"/>
        </w:rPr>
        <w:t>is decade marked the end of the</w:t>
      </w:r>
      <w:r w:rsidRPr="00AD3486">
        <w:rPr>
          <w:rFonts w:ascii="Times New Roman" w:hAnsi="Times New Roman" w:cs="Times New Roman"/>
        </w:rPr>
        <w:t xml:space="preserve"> tr</w:t>
      </w:r>
      <w:r w:rsidR="00C15180">
        <w:rPr>
          <w:rFonts w:ascii="Times New Roman" w:hAnsi="Times New Roman" w:cs="Times New Roman"/>
        </w:rPr>
        <w:t>adition, as</w:t>
      </w:r>
      <w:r w:rsidRPr="00AD3486">
        <w:rPr>
          <w:rFonts w:ascii="Times New Roman" w:hAnsi="Times New Roman" w:cs="Times New Roman"/>
        </w:rPr>
        <w:t xml:space="preserve"> in </w:t>
      </w:r>
      <w:proofErr w:type="gramStart"/>
      <w:r w:rsidRPr="00AD3486">
        <w:rPr>
          <w:rFonts w:ascii="Times New Roman" w:hAnsi="Times New Roman" w:cs="Times New Roman"/>
        </w:rPr>
        <w:t>1832,</w:t>
      </w:r>
      <w:proofErr w:type="gramEnd"/>
      <w:r w:rsidRPr="00AD3486">
        <w:rPr>
          <w:rFonts w:ascii="Times New Roman" w:hAnsi="Times New Roman" w:cs="Times New Roman"/>
        </w:rPr>
        <w:t xml:space="preserve"> the Reform Act challenged capitol punishm</w:t>
      </w:r>
      <w:r w:rsidR="00C15180">
        <w:rPr>
          <w:rFonts w:ascii="Times New Roman" w:hAnsi="Times New Roman" w:cs="Times New Roman"/>
        </w:rPr>
        <w:t>ent by way of hanging and its frequency shra</w:t>
      </w:r>
      <w:r w:rsidRPr="00AD3486">
        <w:rPr>
          <w:rFonts w:ascii="Times New Roman" w:hAnsi="Times New Roman" w:cs="Times New Roman"/>
        </w:rPr>
        <w:t xml:space="preserve">nk to one tenth of its score </w:t>
      </w:r>
      <w:r w:rsidR="003D239D">
        <w:rPr>
          <w:rFonts w:ascii="Times New Roman" w:hAnsi="Times New Roman" w:cs="Times New Roman"/>
        </w:rPr>
        <w:t>the previous decade</w:t>
      </w:r>
      <w:r w:rsidRPr="00AD3486">
        <w:rPr>
          <w:rFonts w:ascii="Times New Roman" w:hAnsi="Times New Roman" w:cs="Times New Roman"/>
        </w:rPr>
        <w:t>.</w:t>
      </w:r>
      <w:r w:rsidR="003D239D">
        <w:rPr>
          <w:rStyle w:val="FootnoteReference"/>
          <w:rFonts w:ascii="Times New Roman" w:hAnsi="Times New Roman" w:cs="Times New Roman"/>
        </w:rPr>
        <w:footnoteReference w:id="21"/>
      </w:r>
    </w:p>
    <w:p w14:paraId="36E1EA48" w14:textId="7AB672B8" w:rsidR="00D063C2" w:rsidRPr="00AD3486" w:rsidRDefault="00D063C2" w:rsidP="00D063C2">
      <w:pPr>
        <w:pStyle w:val="NoSpacing"/>
        <w:spacing w:line="480" w:lineRule="auto"/>
        <w:ind w:firstLine="720"/>
        <w:rPr>
          <w:rFonts w:ascii="Times New Roman" w:hAnsi="Times New Roman" w:cs="Times New Roman"/>
          <w:color w:val="353535"/>
          <w:lang w:val="en-US"/>
        </w:rPr>
      </w:pPr>
      <w:r w:rsidRPr="00AD3486">
        <w:rPr>
          <w:rFonts w:ascii="Times New Roman" w:hAnsi="Times New Roman" w:cs="Times New Roman"/>
          <w:color w:val="353535"/>
          <w:lang w:val="en-US"/>
        </w:rPr>
        <w:t xml:space="preserve">There was a tremendous amount of build up leading to the execution of William </w:t>
      </w:r>
      <w:proofErr w:type="spellStart"/>
      <w:r w:rsidRPr="00AD3486">
        <w:rPr>
          <w:rFonts w:ascii="Times New Roman" w:hAnsi="Times New Roman" w:cs="Times New Roman"/>
          <w:color w:val="353535"/>
          <w:lang w:val="en-US"/>
        </w:rPr>
        <w:t>Corder</w:t>
      </w:r>
      <w:proofErr w:type="spellEnd"/>
      <w:r w:rsidRPr="00AD3486">
        <w:rPr>
          <w:rFonts w:ascii="Times New Roman" w:hAnsi="Times New Roman" w:cs="Times New Roman"/>
          <w:color w:val="353535"/>
          <w:lang w:val="en-US"/>
        </w:rPr>
        <w:t xml:space="preserve"> on August 11, 1828. An estimated 200,000 people visited the scene of the murder, an estimated 7,000 people showed up for his hanging, and approximately 6,000 people showed up to view his corpse afterwards. Walsh described it as a “public exhibition of a disru</w:t>
      </w:r>
      <w:r w:rsidR="00D6757B">
        <w:rPr>
          <w:rFonts w:ascii="Times New Roman" w:hAnsi="Times New Roman" w:cs="Times New Roman"/>
          <w:color w:val="353535"/>
          <w:lang w:val="en-US"/>
        </w:rPr>
        <w:t>pted private sphere”</w:t>
      </w:r>
      <w:r w:rsidRPr="00AD3486">
        <w:rPr>
          <w:rFonts w:ascii="Times New Roman" w:hAnsi="Times New Roman" w:cs="Times New Roman"/>
          <w:color w:val="353535"/>
          <w:lang w:val="en-US"/>
        </w:rPr>
        <w:t>, implying that a domestic murder had become a public sensation.</w:t>
      </w:r>
      <w:r w:rsidR="00D6757B">
        <w:rPr>
          <w:rStyle w:val="FootnoteReference"/>
          <w:rFonts w:ascii="Times New Roman" w:hAnsi="Times New Roman" w:cs="Times New Roman"/>
          <w:color w:val="353535"/>
          <w:lang w:val="en-US"/>
        </w:rPr>
        <w:footnoteReference w:id="22"/>
      </w:r>
      <w:r w:rsidRPr="00AD3486">
        <w:rPr>
          <w:rFonts w:ascii="Times New Roman" w:hAnsi="Times New Roman" w:cs="Times New Roman"/>
          <w:color w:val="353535"/>
          <w:lang w:val="en-US"/>
        </w:rPr>
        <w:t xml:space="preserve"> People travelled far and wide to witness the execution of William </w:t>
      </w:r>
      <w:proofErr w:type="spellStart"/>
      <w:r w:rsidRPr="00AD3486">
        <w:rPr>
          <w:rFonts w:ascii="Times New Roman" w:hAnsi="Times New Roman" w:cs="Times New Roman"/>
          <w:color w:val="353535"/>
          <w:lang w:val="en-US"/>
        </w:rPr>
        <w:t>Corder</w:t>
      </w:r>
      <w:proofErr w:type="spellEnd"/>
      <w:r w:rsidRPr="00AD3486">
        <w:rPr>
          <w:rFonts w:ascii="Times New Roman" w:hAnsi="Times New Roman" w:cs="Times New Roman"/>
          <w:color w:val="353535"/>
          <w:lang w:val="en-US"/>
        </w:rPr>
        <w:t xml:space="preserve">. </w:t>
      </w:r>
      <w:proofErr w:type="spellStart"/>
      <w:r w:rsidRPr="00AD3486">
        <w:rPr>
          <w:rFonts w:ascii="Times New Roman" w:hAnsi="Times New Roman" w:cs="Times New Roman"/>
          <w:color w:val="353535"/>
          <w:lang w:val="en-US"/>
        </w:rPr>
        <w:t>Polstead</w:t>
      </w:r>
      <w:proofErr w:type="spellEnd"/>
      <w:r w:rsidRPr="00AD3486">
        <w:rPr>
          <w:rFonts w:ascii="Times New Roman" w:hAnsi="Times New Roman" w:cs="Times New Roman"/>
          <w:color w:val="353535"/>
          <w:lang w:val="en-US"/>
        </w:rPr>
        <w:t xml:space="preserve"> and Bury St. Edmunds would not have been an easy place for tourists to travel to, a</w:t>
      </w:r>
      <w:r w:rsidR="00AB20B6">
        <w:rPr>
          <w:rFonts w:ascii="Times New Roman" w:hAnsi="Times New Roman" w:cs="Times New Roman"/>
          <w:color w:val="353535"/>
          <w:lang w:val="en-US"/>
        </w:rPr>
        <w:t>s it was remote</w:t>
      </w:r>
      <w:proofErr w:type="gramStart"/>
      <w:r w:rsidR="00AB20B6">
        <w:rPr>
          <w:rFonts w:ascii="Times New Roman" w:hAnsi="Times New Roman" w:cs="Times New Roman"/>
          <w:color w:val="353535"/>
          <w:lang w:val="en-US"/>
        </w:rPr>
        <w:t>.</w:t>
      </w:r>
      <w:r w:rsidR="00C15180">
        <w:rPr>
          <w:rFonts w:ascii="Times New Roman" w:hAnsi="Times New Roman" w:cs="Times New Roman"/>
          <w:color w:val="353535"/>
          <w:lang w:val="en-US"/>
        </w:rPr>
        <w:t>.</w:t>
      </w:r>
      <w:proofErr w:type="gramEnd"/>
      <w:r w:rsidR="00C15180">
        <w:rPr>
          <w:rFonts w:ascii="Times New Roman" w:hAnsi="Times New Roman" w:cs="Times New Roman"/>
          <w:color w:val="353535"/>
          <w:lang w:val="en-US"/>
        </w:rPr>
        <w:t xml:space="preserve"> It was reported</w:t>
      </w:r>
      <w:r w:rsidRPr="00AD3486">
        <w:rPr>
          <w:rFonts w:ascii="Times New Roman" w:hAnsi="Times New Roman" w:cs="Times New Roman"/>
          <w:color w:val="353535"/>
          <w:lang w:val="en-US"/>
        </w:rPr>
        <w:t xml:space="preserve"> in the</w:t>
      </w:r>
      <w:r w:rsidRPr="00AD3486">
        <w:rPr>
          <w:rFonts w:ascii="Times New Roman" w:hAnsi="Times New Roman" w:cs="Times New Roman"/>
          <w:i/>
          <w:color w:val="353535"/>
          <w:lang w:val="en-US"/>
        </w:rPr>
        <w:t xml:space="preserve"> </w:t>
      </w:r>
      <w:proofErr w:type="gramStart"/>
      <w:r w:rsidRPr="00AD3486">
        <w:rPr>
          <w:rFonts w:ascii="Times New Roman" w:hAnsi="Times New Roman" w:cs="Times New Roman"/>
          <w:i/>
          <w:color w:val="353535"/>
          <w:lang w:val="en-US"/>
        </w:rPr>
        <w:t>Times</w:t>
      </w:r>
      <w:r w:rsidRPr="00AD3486">
        <w:rPr>
          <w:rFonts w:ascii="Times New Roman" w:hAnsi="Times New Roman" w:cs="Times New Roman"/>
          <w:color w:val="353535"/>
          <w:lang w:val="en-US"/>
        </w:rPr>
        <w:t xml:space="preserve"> </w:t>
      </w:r>
      <w:r w:rsidR="00C15180">
        <w:rPr>
          <w:rFonts w:ascii="Times New Roman" w:hAnsi="Times New Roman" w:cs="Times New Roman"/>
          <w:color w:val="353535"/>
          <w:lang w:val="en-US"/>
        </w:rPr>
        <w:t>that</w:t>
      </w:r>
      <w:proofErr w:type="gramEnd"/>
      <w:r w:rsidR="00C15180">
        <w:rPr>
          <w:rFonts w:ascii="Times New Roman" w:hAnsi="Times New Roman" w:cs="Times New Roman"/>
          <w:color w:val="353535"/>
          <w:lang w:val="en-US"/>
        </w:rPr>
        <w:t xml:space="preserve"> </w:t>
      </w:r>
      <w:r w:rsidRPr="00AD3486">
        <w:rPr>
          <w:rFonts w:ascii="Times New Roman" w:hAnsi="Times New Roman" w:cs="Times New Roman"/>
          <w:color w:val="353535"/>
          <w:lang w:val="en-US"/>
        </w:rPr>
        <w:t>“the whole of the laboring classes in (Bury St. Edmunds) struck for the day, in order that they might have an opportunity of witnessing the execution of t</w:t>
      </w:r>
      <w:r w:rsidR="0075353B">
        <w:rPr>
          <w:rFonts w:ascii="Times New Roman" w:hAnsi="Times New Roman" w:cs="Times New Roman"/>
          <w:color w:val="353535"/>
          <w:lang w:val="en-US"/>
        </w:rPr>
        <w:t>his wretched criminal</w:t>
      </w:r>
      <w:r w:rsidRPr="00AD3486">
        <w:rPr>
          <w:rFonts w:ascii="Times New Roman" w:hAnsi="Times New Roman" w:cs="Times New Roman"/>
          <w:color w:val="353535"/>
          <w:lang w:val="en-US"/>
        </w:rPr>
        <w:t>.</w:t>
      </w:r>
      <w:r w:rsidR="0075353B">
        <w:rPr>
          <w:rFonts w:ascii="Times New Roman" w:hAnsi="Times New Roman" w:cs="Times New Roman"/>
          <w:color w:val="353535"/>
          <w:lang w:val="en-US"/>
        </w:rPr>
        <w:t>”</w:t>
      </w:r>
      <w:r w:rsidR="0075353B">
        <w:rPr>
          <w:rStyle w:val="FootnoteReference"/>
          <w:rFonts w:ascii="Times New Roman" w:hAnsi="Times New Roman" w:cs="Times New Roman"/>
          <w:color w:val="353535"/>
          <w:lang w:val="en-US"/>
        </w:rPr>
        <w:footnoteReference w:id="23"/>
      </w:r>
      <w:r w:rsidRPr="00AD3486">
        <w:rPr>
          <w:rFonts w:ascii="Times New Roman" w:hAnsi="Times New Roman" w:cs="Times New Roman"/>
          <w:color w:val="353535"/>
          <w:lang w:val="en-US"/>
        </w:rPr>
        <w:t xml:space="preserve"> This </w:t>
      </w:r>
      <w:r w:rsidRPr="00AD3486">
        <w:rPr>
          <w:rFonts w:ascii="Times New Roman" w:hAnsi="Times New Roman" w:cs="Times New Roman"/>
          <w:i/>
          <w:color w:val="353535"/>
          <w:lang w:val="en-US"/>
        </w:rPr>
        <w:t>Times</w:t>
      </w:r>
      <w:r w:rsidRPr="00AD3486">
        <w:rPr>
          <w:rFonts w:ascii="Times New Roman" w:hAnsi="Times New Roman" w:cs="Times New Roman"/>
          <w:color w:val="353535"/>
          <w:lang w:val="en-US"/>
        </w:rPr>
        <w:t xml:space="preserve"> article was released the day after the murder and provided vivid detail of the execution. </w:t>
      </w:r>
    </w:p>
    <w:p w14:paraId="481729B6" w14:textId="69F895A2" w:rsidR="008F268B" w:rsidRDefault="00037F00" w:rsidP="008F268B">
      <w:pPr>
        <w:pStyle w:val="NoSpacing"/>
        <w:spacing w:line="480" w:lineRule="auto"/>
        <w:ind w:firstLine="720"/>
        <w:rPr>
          <w:rFonts w:ascii="Times New Roman" w:hAnsi="Times New Roman" w:cs="Times New Roman"/>
        </w:rPr>
      </w:pPr>
      <w:r>
        <w:rPr>
          <w:rFonts w:ascii="Times New Roman" w:hAnsi="Times New Roman" w:cs="Times New Roman"/>
        </w:rPr>
        <w:t xml:space="preserve">Part of what made the murder of Maria Marten, an otherwise </w:t>
      </w:r>
      <w:r w:rsidR="004112D6">
        <w:rPr>
          <w:rFonts w:ascii="Times New Roman" w:hAnsi="Times New Roman" w:cs="Times New Roman"/>
        </w:rPr>
        <w:t>simple murder</w:t>
      </w:r>
      <w:r>
        <w:rPr>
          <w:rFonts w:ascii="Times New Roman" w:hAnsi="Times New Roman" w:cs="Times New Roman"/>
        </w:rPr>
        <w:t xml:space="preserve">, such a sensation at the time, was the illegitimacy of her child with William </w:t>
      </w:r>
      <w:proofErr w:type="spellStart"/>
      <w:r>
        <w:rPr>
          <w:rFonts w:ascii="Times New Roman" w:hAnsi="Times New Roman" w:cs="Times New Roman"/>
        </w:rPr>
        <w:t>Corder</w:t>
      </w:r>
      <w:proofErr w:type="spellEnd"/>
      <w:r>
        <w:rPr>
          <w:rFonts w:ascii="Times New Roman" w:hAnsi="Times New Roman" w:cs="Times New Roman"/>
        </w:rPr>
        <w:t xml:space="preserve">. </w:t>
      </w:r>
      <w:r w:rsidR="00D063C2" w:rsidRPr="00AD3486">
        <w:rPr>
          <w:rFonts w:ascii="Times New Roman" w:hAnsi="Times New Roman" w:cs="Times New Roman"/>
        </w:rPr>
        <w:t>There were several issues surrounding the taboo topic of illegitimate children in 19</w:t>
      </w:r>
      <w:r w:rsidR="00D063C2" w:rsidRPr="00AD3486">
        <w:rPr>
          <w:rFonts w:ascii="Times New Roman" w:hAnsi="Times New Roman" w:cs="Times New Roman"/>
          <w:vertAlign w:val="superscript"/>
        </w:rPr>
        <w:t>th</w:t>
      </w:r>
      <w:r w:rsidR="00D063C2" w:rsidRPr="00AD3486">
        <w:rPr>
          <w:rFonts w:ascii="Times New Roman" w:hAnsi="Times New Roman" w:cs="Times New Roman"/>
        </w:rPr>
        <w:t xml:space="preserve"> century Britain. “The bastard, like the prostitute, thief and beggar, belongs to that motley crowd of disreputable social types which society has generally resented, always endured. He is a living</w:t>
      </w:r>
      <w:r w:rsidR="00D063C2">
        <w:rPr>
          <w:rFonts w:ascii="Times New Roman" w:hAnsi="Times New Roman" w:cs="Times New Roman"/>
        </w:rPr>
        <w:t xml:space="preserve"> symbol of social irregularity.</w:t>
      </w:r>
      <w:r w:rsidR="007A7416">
        <w:rPr>
          <w:rFonts w:ascii="Times New Roman" w:hAnsi="Times New Roman" w:cs="Times New Roman"/>
        </w:rPr>
        <w:t>”</w:t>
      </w:r>
      <w:r w:rsidR="007A7416">
        <w:rPr>
          <w:rStyle w:val="FootnoteReference"/>
          <w:rFonts w:ascii="Times New Roman" w:hAnsi="Times New Roman" w:cs="Times New Roman"/>
        </w:rPr>
        <w:footnoteReference w:id="24"/>
      </w:r>
      <w:r w:rsidR="00D063C2" w:rsidRPr="00AD3486">
        <w:rPr>
          <w:rFonts w:ascii="Times New Roman" w:hAnsi="Times New Roman" w:cs="Times New Roman"/>
        </w:rPr>
        <w:t xml:space="preserve"> Not only did legislation impose sanctions upon the parents of illegitimate families for a large part of the 19</w:t>
      </w:r>
      <w:r w:rsidR="00D063C2" w:rsidRPr="00AD3486">
        <w:rPr>
          <w:rFonts w:ascii="Times New Roman" w:hAnsi="Times New Roman" w:cs="Times New Roman"/>
          <w:vertAlign w:val="superscript"/>
        </w:rPr>
        <w:t>th</w:t>
      </w:r>
      <w:r w:rsidR="00D063C2" w:rsidRPr="00AD3486">
        <w:rPr>
          <w:rFonts w:ascii="Times New Roman" w:hAnsi="Times New Roman" w:cs="Times New Roman"/>
        </w:rPr>
        <w:t xml:space="preserve"> century, but </w:t>
      </w:r>
      <w:r w:rsidR="004F0DDA">
        <w:rPr>
          <w:rFonts w:ascii="Times New Roman" w:hAnsi="Times New Roman" w:cs="Times New Roman"/>
        </w:rPr>
        <w:t>there was also</w:t>
      </w:r>
      <w:r w:rsidR="00D063C2" w:rsidRPr="00AD3486">
        <w:rPr>
          <w:rFonts w:ascii="Times New Roman" w:hAnsi="Times New Roman" w:cs="Times New Roman"/>
        </w:rPr>
        <w:t xml:space="preserve"> a social “sanction” imposed upon those parent</w:t>
      </w:r>
      <w:r w:rsidR="004F0DDA">
        <w:rPr>
          <w:rFonts w:ascii="Times New Roman" w:hAnsi="Times New Roman" w:cs="Times New Roman"/>
        </w:rPr>
        <w:t xml:space="preserve">s by the cultural stigma in </w:t>
      </w:r>
      <w:r w:rsidR="00D063C2" w:rsidRPr="00AD3486">
        <w:rPr>
          <w:rFonts w:ascii="Times New Roman" w:hAnsi="Times New Roman" w:cs="Times New Roman"/>
        </w:rPr>
        <w:t xml:space="preserve">Victorian society. </w:t>
      </w:r>
    </w:p>
    <w:p w14:paraId="5F573C1A" w14:textId="38C47D94" w:rsidR="00D063C2" w:rsidRPr="00AD3486" w:rsidRDefault="00D063C2" w:rsidP="008F268B">
      <w:pPr>
        <w:pStyle w:val="NoSpacing"/>
        <w:spacing w:line="480" w:lineRule="auto"/>
        <w:ind w:firstLine="720"/>
        <w:rPr>
          <w:rFonts w:ascii="Times New Roman" w:hAnsi="Times New Roman" w:cs="Times New Roman"/>
        </w:rPr>
      </w:pPr>
      <w:r w:rsidRPr="00AD3486">
        <w:rPr>
          <w:rFonts w:ascii="Times New Roman" w:hAnsi="Times New Roman" w:cs="Times New Roman"/>
        </w:rPr>
        <w:t>Maria Marten in her lifetime bore three illegitimate children</w:t>
      </w:r>
      <w:proofErr w:type="gramStart"/>
      <w:r w:rsidRPr="00AD3486">
        <w:rPr>
          <w:rFonts w:ascii="Times New Roman" w:hAnsi="Times New Roman" w:cs="Times New Roman"/>
        </w:rPr>
        <w:t>;</w:t>
      </w:r>
      <w:proofErr w:type="gramEnd"/>
      <w:r w:rsidRPr="00AD3486">
        <w:rPr>
          <w:rFonts w:ascii="Times New Roman" w:hAnsi="Times New Roman" w:cs="Times New Roman"/>
        </w:rPr>
        <w:t xml:space="preserve"> one to William </w:t>
      </w:r>
      <w:proofErr w:type="spellStart"/>
      <w:r w:rsidRPr="00AD3486">
        <w:rPr>
          <w:rFonts w:ascii="Times New Roman" w:hAnsi="Times New Roman" w:cs="Times New Roman"/>
        </w:rPr>
        <w:t>Corder</w:t>
      </w:r>
      <w:proofErr w:type="spellEnd"/>
      <w:r w:rsidRPr="00AD3486">
        <w:rPr>
          <w:rFonts w:ascii="Times New Roman" w:hAnsi="Times New Roman" w:cs="Times New Roman"/>
        </w:rPr>
        <w:t xml:space="preserve"> and one previo</w:t>
      </w:r>
      <w:r w:rsidR="007A7416">
        <w:rPr>
          <w:rFonts w:ascii="Times New Roman" w:hAnsi="Times New Roman" w:cs="Times New Roman"/>
        </w:rPr>
        <w:t xml:space="preserve">usly to </w:t>
      </w:r>
      <w:proofErr w:type="spellStart"/>
      <w:r w:rsidR="007A7416">
        <w:rPr>
          <w:rFonts w:ascii="Times New Roman" w:hAnsi="Times New Roman" w:cs="Times New Roman"/>
        </w:rPr>
        <w:t>Corder’s</w:t>
      </w:r>
      <w:proofErr w:type="spellEnd"/>
      <w:r w:rsidR="007A7416">
        <w:rPr>
          <w:rFonts w:ascii="Times New Roman" w:hAnsi="Times New Roman" w:cs="Times New Roman"/>
        </w:rPr>
        <w:t xml:space="preserve"> brother.</w:t>
      </w:r>
      <w:r w:rsidR="007A7416">
        <w:rPr>
          <w:rStyle w:val="FootnoteReference"/>
          <w:rFonts w:ascii="Times New Roman" w:hAnsi="Times New Roman" w:cs="Times New Roman"/>
        </w:rPr>
        <w:footnoteReference w:id="25"/>
      </w:r>
      <w:r w:rsidR="007A7416">
        <w:rPr>
          <w:rFonts w:ascii="Times New Roman" w:hAnsi="Times New Roman" w:cs="Times New Roman"/>
        </w:rPr>
        <w:t xml:space="preserve"> </w:t>
      </w:r>
      <w:r w:rsidRPr="00AD3486">
        <w:rPr>
          <w:rFonts w:ascii="Times New Roman" w:hAnsi="Times New Roman" w:cs="Times New Roman"/>
        </w:rPr>
        <w:t xml:space="preserve">In the case of Marten and </w:t>
      </w:r>
      <w:proofErr w:type="spellStart"/>
      <w:r w:rsidRPr="00AD3486">
        <w:rPr>
          <w:rFonts w:ascii="Times New Roman" w:hAnsi="Times New Roman" w:cs="Times New Roman"/>
        </w:rPr>
        <w:t>Corder</w:t>
      </w:r>
      <w:proofErr w:type="spellEnd"/>
      <w:r w:rsidRPr="00AD3486">
        <w:rPr>
          <w:rFonts w:ascii="Times New Roman" w:hAnsi="Times New Roman" w:cs="Times New Roman"/>
        </w:rPr>
        <w:t>, their illegitimate son would have been born to what was termed “general bastardy”, meaning the parents did not get married after the birth of the child. It was coined “special bastardy”, however, if the couple were to later marry. There can be no doubt that Marten was hoping f</w:t>
      </w:r>
      <w:r w:rsidR="00BC00A3">
        <w:rPr>
          <w:rFonts w:ascii="Times New Roman" w:hAnsi="Times New Roman" w:cs="Times New Roman"/>
        </w:rPr>
        <w:t>or the latter of the two, as she</w:t>
      </w:r>
      <w:r w:rsidRPr="00AD3486">
        <w:rPr>
          <w:rFonts w:ascii="Times New Roman" w:hAnsi="Times New Roman" w:cs="Times New Roman"/>
        </w:rPr>
        <w:t xml:space="preserve"> and her family pressured the two to be wed. If this had been the case, their son would have been considered legit</w:t>
      </w:r>
      <w:r w:rsidR="00362BCA">
        <w:rPr>
          <w:rFonts w:ascii="Times New Roman" w:hAnsi="Times New Roman" w:cs="Times New Roman"/>
        </w:rPr>
        <w:t>imate by the law of the church</w:t>
      </w:r>
      <w:r w:rsidR="00362BCA">
        <w:rPr>
          <w:rStyle w:val="FootnoteReference"/>
          <w:rFonts w:ascii="Times New Roman" w:hAnsi="Times New Roman" w:cs="Times New Roman"/>
        </w:rPr>
        <w:footnoteReference w:id="26"/>
      </w:r>
      <w:r w:rsidRPr="00AD3486">
        <w:rPr>
          <w:rFonts w:ascii="Times New Roman" w:hAnsi="Times New Roman" w:cs="Times New Roman"/>
        </w:rPr>
        <w:t>.</w:t>
      </w:r>
      <w:r w:rsidR="00700095">
        <w:rPr>
          <w:rFonts w:ascii="Times New Roman" w:hAnsi="Times New Roman" w:cs="Times New Roman"/>
        </w:rPr>
        <w:t xml:space="preserve"> Maria Marten was considered a respectable, </w:t>
      </w:r>
      <w:r w:rsidR="008274A5">
        <w:rPr>
          <w:rFonts w:ascii="Times New Roman" w:hAnsi="Times New Roman" w:cs="Times New Roman"/>
        </w:rPr>
        <w:t>moderately well</w:t>
      </w:r>
      <w:r w:rsidR="00700095">
        <w:rPr>
          <w:rFonts w:ascii="Times New Roman" w:hAnsi="Times New Roman" w:cs="Times New Roman"/>
        </w:rPr>
        <w:t xml:space="preserve"> educat</w:t>
      </w:r>
      <w:r w:rsidR="00BC00A3">
        <w:rPr>
          <w:rFonts w:ascii="Times New Roman" w:hAnsi="Times New Roman" w:cs="Times New Roman"/>
        </w:rPr>
        <w:t>ed woman, and therefore she woul</w:t>
      </w:r>
      <w:r w:rsidR="00700095">
        <w:rPr>
          <w:rFonts w:ascii="Times New Roman" w:hAnsi="Times New Roman" w:cs="Times New Roman"/>
        </w:rPr>
        <w:t>d not have been morally pardoned for the</w:t>
      </w:r>
      <w:r w:rsidR="00A15608">
        <w:rPr>
          <w:rFonts w:ascii="Times New Roman" w:hAnsi="Times New Roman" w:cs="Times New Roman"/>
        </w:rPr>
        <w:t>se illegitimate children.</w:t>
      </w:r>
      <w:r w:rsidR="00A15608">
        <w:rPr>
          <w:rStyle w:val="FootnoteReference"/>
          <w:rFonts w:ascii="Times New Roman" w:hAnsi="Times New Roman" w:cs="Times New Roman"/>
        </w:rPr>
        <w:footnoteReference w:id="27"/>
      </w:r>
    </w:p>
    <w:p w14:paraId="30A9A13D" w14:textId="47404B91" w:rsidR="00D063C2" w:rsidRPr="00AD3486" w:rsidRDefault="00D063C2" w:rsidP="00D063C2">
      <w:pPr>
        <w:pStyle w:val="NoSpacing"/>
        <w:spacing w:line="480" w:lineRule="auto"/>
        <w:rPr>
          <w:rFonts w:ascii="Times New Roman" w:hAnsi="Times New Roman" w:cs="Times New Roman"/>
        </w:rPr>
      </w:pPr>
      <w:r w:rsidRPr="00AD3486">
        <w:rPr>
          <w:rFonts w:ascii="Times New Roman" w:hAnsi="Times New Roman" w:cs="Times New Roman"/>
        </w:rPr>
        <w:t xml:space="preserve"> </w:t>
      </w:r>
      <w:r>
        <w:rPr>
          <w:rFonts w:ascii="Times New Roman" w:hAnsi="Times New Roman" w:cs="Times New Roman"/>
        </w:rPr>
        <w:tab/>
      </w:r>
      <w:r w:rsidRPr="00AD3486">
        <w:rPr>
          <w:rFonts w:ascii="Times New Roman" w:hAnsi="Times New Roman" w:cs="Times New Roman"/>
        </w:rPr>
        <w:t>Legislation in the 17</w:t>
      </w:r>
      <w:r w:rsidRPr="00AD3486">
        <w:rPr>
          <w:rFonts w:ascii="Times New Roman" w:hAnsi="Times New Roman" w:cs="Times New Roman"/>
          <w:vertAlign w:val="superscript"/>
        </w:rPr>
        <w:t>th</w:t>
      </w:r>
      <w:r w:rsidRPr="00AD3486">
        <w:rPr>
          <w:rFonts w:ascii="Times New Roman" w:hAnsi="Times New Roman" w:cs="Times New Roman"/>
        </w:rPr>
        <w:t xml:space="preserve"> century declared criminal punishment should be imposed upon unwed mothers of illegitimate children, esp</w:t>
      </w:r>
      <w:r w:rsidR="00AC3016">
        <w:rPr>
          <w:rFonts w:ascii="Times New Roman" w:hAnsi="Times New Roman" w:cs="Times New Roman"/>
        </w:rPr>
        <w:t>ecially amongst poorer classes.</w:t>
      </w:r>
      <w:r w:rsidR="00AC3016">
        <w:rPr>
          <w:rStyle w:val="FootnoteReference"/>
          <w:rFonts w:ascii="Times New Roman" w:hAnsi="Times New Roman" w:cs="Times New Roman"/>
        </w:rPr>
        <w:footnoteReference w:id="28"/>
      </w:r>
      <w:r w:rsidR="00AC3016">
        <w:rPr>
          <w:rFonts w:ascii="Times New Roman" w:hAnsi="Times New Roman" w:cs="Times New Roman"/>
        </w:rPr>
        <w:t xml:space="preserve"> </w:t>
      </w:r>
      <w:r w:rsidRPr="00AD3486">
        <w:rPr>
          <w:rFonts w:ascii="Times New Roman" w:hAnsi="Times New Roman" w:cs="Times New Roman"/>
        </w:rPr>
        <w:t>This esc</w:t>
      </w:r>
      <w:r w:rsidR="00C6221D">
        <w:rPr>
          <w:rFonts w:ascii="Times New Roman" w:hAnsi="Times New Roman" w:cs="Times New Roman"/>
        </w:rPr>
        <w:t>alated the frequency of women who murdered</w:t>
      </w:r>
      <w:r w:rsidR="00AC3016">
        <w:rPr>
          <w:rFonts w:ascii="Times New Roman" w:hAnsi="Times New Roman" w:cs="Times New Roman"/>
        </w:rPr>
        <w:t xml:space="preserve"> their bastard children</w:t>
      </w:r>
      <w:r w:rsidRPr="00AD3486">
        <w:rPr>
          <w:rFonts w:ascii="Times New Roman" w:hAnsi="Times New Roman" w:cs="Times New Roman"/>
        </w:rPr>
        <w:t>.</w:t>
      </w:r>
      <w:r w:rsidR="00AC3016">
        <w:rPr>
          <w:rStyle w:val="FootnoteReference"/>
          <w:rFonts w:ascii="Times New Roman" w:hAnsi="Times New Roman" w:cs="Times New Roman"/>
        </w:rPr>
        <w:footnoteReference w:id="29"/>
      </w:r>
      <w:r w:rsidRPr="00AD3486">
        <w:rPr>
          <w:rFonts w:ascii="Times New Roman" w:hAnsi="Times New Roman" w:cs="Times New Roman"/>
        </w:rPr>
        <w:t xml:space="preserve"> New statu</w:t>
      </w:r>
      <w:r w:rsidR="00BC00A3">
        <w:rPr>
          <w:rFonts w:ascii="Times New Roman" w:hAnsi="Times New Roman" w:cs="Times New Roman"/>
        </w:rPr>
        <w:t>t</w:t>
      </w:r>
      <w:r w:rsidRPr="00AD3486">
        <w:rPr>
          <w:rFonts w:ascii="Times New Roman" w:hAnsi="Times New Roman" w:cs="Times New Roman"/>
        </w:rPr>
        <w:t>es had to be put in place to punish mothers who could not prove that the child was, as they would claim, born dead. Men and women were both punished for their illegitimate children, but women were the primary victims of imprisonment</w:t>
      </w:r>
      <w:r w:rsidR="00087AC0">
        <w:rPr>
          <w:rFonts w:ascii="Times New Roman" w:hAnsi="Times New Roman" w:cs="Times New Roman"/>
        </w:rPr>
        <w:t xml:space="preserve"> for this offence</w:t>
      </w:r>
      <w:r w:rsidRPr="00AD3486">
        <w:rPr>
          <w:rFonts w:ascii="Times New Roman" w:hAnsi="Times New Roman" w:cs="Times New Roman"/>
        </w:rPr>
        <w:t>.</w:t>
      </w:r>
      <w:r w:rsidR="00087AC0">
        <w:rPr>
          <w:rStyle w:val="FootnoteReference"/>
          <w:rFonts w:ascii="Times New Roman" w:hAnsi="Times New Roman" w:cs="Times New Roman"/>
        </w:rPr>
        <w:footnoteReference w:id="30"/>
      </w:r>
      <w:r w:rsidRPr="00AD3486">
        <w:rPr>
          <w:rFonts w:ascii="Times New Roman" w:hAnsi="Times New Roman" w:cs="Times New Roman"/>
        </w:rPr>
        <w:t xml:space="preserve"> These laws were revisited several times, altered, and by the mid 19</w:t>
      </w:r>
      <w:r w:rsidRPr="00AD3486">
        <w:rPr>
          <w:rFonts w:ascii="Times New Roman" w:hAnsi="Times New Roman" w:cs="Times New Roman"/>
          <w:vertAlign w:val="superscript"/>
        </w:rPr>
        <w:t>th</w:t>
      </w:r>
      <w:r w:rsidRPr="00AD3486">
        <w:rPr>
          <w:rFonts w:ascii="Times New Roman" w:hAnsi="Times New Roman" w:cs="Times New Roman"/>
        </w:rPr>
        <w:t xml:space="preserve"> century, an unwed woman bearing a bastard child was no longer </w:t>
      </w:r>
      <w:r w:rsidR="00BC00A3">
        <w:rPr>
          <w:rFonts w:ascii="Times New Roman" w:hAnsi="Times New Roman" w:cs="Times New Roman"/>
        </w:rPr>
        <w:t>found to be a criminal</w:t>
      </w:r>
      <w:r w:rsidR="008670CC">
        <w:rPr>
          <w:rFonts w:ascii="Times New Roman" w:hAnsi="Times New Roman" w:cs="Times New Roman"/>
        </w:rPr>
        <w:t>.</w:t>
      </w:r>
      <w:r w:rsidR="008670CC">
        <w:rPr>
          <w:rStyle w:val="FootnoteReference"/>
          <w:rFonts w:ascii="Times New Roman" w:hAnsi="Times New Roman" w:cs="Times New Roman"/>
        </w:rPr>
        <w:footnoteReference w:id="31"/>
      </w:r>
      <w:r w:rsidRPr="00AD3486">
        <w:rPr>
          <w:rFonts w:ascii="Times New Roman" w:hAnsi="Times New Roman" w:cs="Times New Roman"/>
        </w:rPr>
        <w:t xml:space="preserve"> </w:t>
      </w:r>
    </w:p>
    <w:p w14:paraId="03FD1E45" w14:textId="03121E40" w:rsidR="001B60F6" w:rsidRDefault="00D063C2" w:rsidP="001B60F6">
      <w:pPr>
        <w:pStyle w:val="NoSpacing"/>
        <w:spacing w:line="480" w:lineRule="auto"/>
        <w:ind w:firstLine="720"/>
        <w:rPr>
          <w:rFonts w:ascii="Times New Roman" w:hAnsi="Times New Roman" w:cs="Times New Roman"/>
        </w:rPr>
      </w:pPr>
      <w:r w:rsidRPr="00AD3486">
        <w:rPr>
          <w:rFonts w:ascii="Times New Roman" w:hAnsi="Times New Roman" w:cs="Times New Roman"/>
        </w:rPr>
        <w:t>Despite the laws being altered in the mid 19</w:t>
      </w:r>
      <w:r w:rsidRPr="00AD3486">
        <w:rPr>
          <w:rFonts w:ascii="Times New Roman" w:hAnsi="Times New Roman" w:cs="Times New Roman"/>
          <w:vertAlign w:val="superscript"/>
        </w:rPr>
        <w:t>th</w:t>
      </w:r>
      <w:r w:rsidRPr="00AD3486">
        <w:rPr>
          <w:rFonts w:ascii="Times New Roman" w:hAnsi="Times New Roman" w:cs="Times New Roman"/>
        </w:rPr>
        <w:t xml:space="preserve"> century to remove penal sanctions against the parents of bastard children, there was still a stigma that lay just under the surface of society. There is some evidence that women who bore bastard children carried </w:t>
      </w:r>
      <w:r w:rsidR="00FC28D2">
        <w:rPr>
          <w:rFonts w:ascii="Times New Roman" w:hAnsi="Times New Roman" w:cs="Times New Roman"/>
        </w:rPr>
        <w:t>a burden of considerable shame.</w:t>
      </w:r>
      <w:r w:rsidR="00FC28D2">
        <w:rPr>
          <w:rStyle w:val="FootnoteReference"/>
          <w:rFonts w:ascii="Times New Roman" w:hAnsi="Times New Roman" w:cs="Times New Roman"/>
        </w:rPr>
        <w:footnoteReference w:id="32"/>
      </w:r>
      <w:r w:rsidR="00FC28D2">
        <w:rPr>
          <w:rFonts w:ascii="Times New Roman" w:hAnsi="Times New Roman" w:cs="Times New Roman"/>
        </w:rPr>
        <w:t xml:space="preserve"> </w:t>
      </w:r>
      <w:r w:rsidRPr="00AD3486">
        <w:rPr>
          <w:rFonts w:ascii="Times New Roman" w:hAnsi="Times New Roman" w:cs="Times New Roman"/>
        </w:rPr>
        <w:t xml:space="preserve">As discussed in the theme of the idyllic Victorian home, Victorians would not have viewed a bastard child as belonging in the picture. </w:t>
      </w:r>
    </w:p>
    <w:p w14:paraId="07739E8E" w14:textId="79CC1645" w:rsidR="001B60F6" w:rsidRPr="001B60F6" w:rsidRDefault="001B60F6" w:rsidP="001B60F6">
      <w:pPr>
        <w:pStyle w:val="NoSpacing"/>
        <w:spacing w:line="480" w:lineRule="auto"/>
        <w:ind w:firstLine="720"/>
        <w:rPr>
          <w:rFonts w:ascii="Times New Roman" w:hAnsi="Times New Roman" w:cs="Times New Roman"/>
        </w:rPr>
      </w:pPr>
      <w:r>
        <w:rPr>
          <w:rFonts w:ascii="Times New Roman" w:hAnsi="Times New Roman" w:cs="Times New Roman"/>
          <w:color w:val="353535"/>
          <w:lang w:val="en-US"/>
        </w:rPr>
        <w:t xml:space="preserve">Another aspect of the Red Barn murder that made it so sensational was how it shed an uncomfortable light on the possibility of violence within a Victorian home. </w:t>
      </w:r>
      <w:r w:rsidRPr="00AD3486">
        <w:rPr>
          <w:rFonts w:ascii="Times New Roman" w:hAnsi="Times New Roman" w:cs="Times New Roman"/>
          <w:color w:val="353535"/>
          <w:lang w:val="en-US"/>
        </w:rPr>
        <w:t>What went on behind the closed doors of a Victorian home were very private and rarely spoken about.</w:t>
      </w:r>
      <w:r w:rsidRPr="005858A4">
        <w:rPr>
          <w:rFonts w:ascii="Times New Roman" w:hAnsi="Times New Roman" w:cs="Times New Roman"/>
        </w:rPr>
        <w:t xml:space="preserve"> </w:t>
      </w:r>
      <w:r>
        <w:rPr>
          <w:rFonts w:ascii="Times New Roman" w:hAnsi="Times New Roman" w:cs="Times New Roman"/>
        </w:rPr>
        <w:t>M</w:t>
      </w:r>
      <w:r w:rsidRPr="00AD3486">
        <w:rPr>
          <w:rFonts w:ascii="Times New Roman" w:hAnsi="Times New Roman" w:cs="Times New Roman"/>
        </w:rPr>
        <w:t>atters</w:t>
      </w:r>
      <w:r>
        <w:rPr>
          <w:rFonts w:ascii="Times New Roman" w:hAnsi="Times New Roman" w:cs="Times New Roman"/>
        </w:rPr>
        <w:t xml:space="preserve"> that took place</w:t>
      </w:r>
      <w:r w:rsidR="00BC00A3">
        <w:rPr>
          <w:rFonts w:ascii="Times New Roman" w:hAnsi="Times New Roman" w:cs="Times New Roman"/>
        </w:rPr>
        <w:t xml:space="preserve"> behind</w:t>
      </w:r>
      <w:r>
        <w:rPr>
          <w:rFonts w:ascii="Times New Roman" w:hAnsi="Times New Roman" w:cs="Times New Roman"/>
        </w:rPr>
        <w:t xml:space="preserve"> </w:t>
      </w:r>
      <w:r w:rsidRPr="00AD3486">
        <w:rPr>
          <w:rFonts w:ascii="Times New Roman" w:hAnsi="Times New Roman" w:cs="Times New Roman"/>
        </w:rPr>
        <w:t>closed doors between couples became sca</w:t>
      </w:r>
      <w:r>
        <w:rPr>
          <w:rFonts w:ascii="Times New Roman" w:hAnsi="Times New Roman" w:cs="Times New Roman"/>
        </w:rPr>
        <w:t>ndal</w:t>
      </w:r>
      <w:r w:rsidR="002C0B76">
        <w:rPr>
          <w:rFonts w:ascii="Times New Roman" w:hAnsi="Times New Roman" w:cs="Times New Roman"/>
        </w:rPr>
        <w:t>ous</w:t>
      </w:r>
      <w:r>
        <w:rPr>
          <w:rFonts w:ascii="Times New Roman" w:hAnsi="Times New Roman" w:cs="Times New Roman"/>
        </w:rPr>
        <w:t xml:space="preserve"> when they became public. Walsh asserted that </w:t>
      </w:r>
      <w:r>
        <w:rPr>
          <w:rFonts w:ascii="Times New Roman" w:hAnsi="Times New Roman" w:cs="Times New Roman"/>
          <w:color w:val="353535"/>
          <w:lang w:val="en-US"/>
        </w:rPr>
        <w:t>“</w:t>
      </w:r>
      <w:r w:rsidRPr="00AD3486">
        <w:rPr>
          <w:rFonts w:ascii="Times New Roman" w:hAnsi="Times New Roman" w:cs="Times New Roman"/>
          <w:color w:val="353535"/>
          <w:lang w:val="en-US"/>
        </w:rPr>
        <w:t>the preservation of the domestic sphere was central to Victorian ideas of nationhood, and anything which might threaten the domestic space was a threat to the na</w:t>
      </w:r>
      <w:r w:rsidR="007803A5">
        <w:rPr>
          <w:rFonts w:ascii="Times New Roman" w:hAnsi="Times New Roman" w:cs="Times New Roman"/>
          <w:color w:val="353535"/>
          <w:lang w:val="en-US"/>
        </w:rPr>
        <w:t>tion as a whole</w:t>
      </w:r>
      <w:r>
        <w:rPr>
          <w:rFonts w:ascii="Times New Roman" w:hAnsi="Times New Roman" w:cs="Times New Roman"/>
          <w:color w:val="353535"/>
          <w:lang w:val="en-US"/>
        </w:rPr>
        <w:t>.</w:t>
      </w:r>
      <w:r w:rsidR="007803A5">
        <w:rPr>
          <w:rFonts w:ascii="Times New Roman" w:hAnsi="Times New Roman" w:cs="Times New Roman"/>
          <w:color w:val="353535"/>
          <w:lang w:val="en-US"/>
        </w:rPr>
        <w:t>”</w:t>
      </w:r>
      <w:r w:rsidR="007803A5">
        <w:rPr>
          <w:rStyle w:val="FootnoteReference"/>
          <w:rFonts w:ascii="Times New Roman" w:hAnsi="Times New Roman" w:cs="Times New Roman"/>
          <w:color w:val="353535"/>
          <w:lang w:val="en-US"/>
        </w:rPr>
        <w:footnoteReference w:id="33"/>
      </w:r>
      <w:r>
        <w:rPr>
          <w:rFonts w:ascii="Times New Roman" w:hAnsi="Times New Roman" w:cs="Times New Roman"/>
          <w:color w:val="353535"/>
          <w:lang w:val="en-US"/>
        </w:rPr>
        <w:t xml:space="preserve"> The domestic incident between </w:t>
      </w:r>
      <w:proofErr w:type="spellStart"/>
      <w:r>
        <w:rPr>
          <w:rFonts w:ascii="Times New Roman" w:hAnsi="Times New Roman" w:cs="Times New Roman"/>
          <w:color w:val="353535"/>
          <w:lang w:val="en-US"/>
        </w:rPr>
        <w:t>Corde</w:t>
      </w:r>
      <w:r w:rsidR="006324D7">
        <w:rPr>
          <w:rFonts w:ascii="Times New Roman" w:hAnsi="Times New Roman" w:cs="Times New Roman"/>
          <w:color w:val="353535"/>
          <w:lang w:val="en-US"/>
        </w:rPr>
        <w:t>r</w:t>
      </w:r>
      <w:proofErr w:type="spellEnd"/>
      <w:r w:rsidR="006324D7">
        <w:rPr>
          <w:rFonts w:ascii="Times New Roman" w:hAnsi="Times New Roman" w:cs="Times New Roman"/>
          <w:color w:val="353535"/>
          <w:lang w:val="en-US"/>
        </w:rPr>
        <w:t xml:space="preserve"> and Marten became a public sensation</w:t>
      </w:r>
      <w:r>
        <w:rPr>
          <w:rFonts w:ascii="Times New Roman" w:hAnsi="Times New Roman" w:cs="Times New Roman"/>
          <w:color w:val="353535"/>
          <w:lang w:val="en-US"/>
        </w:rPr>
        <w:t xml:space="preserve">. Although they never technically shared a home, the same concept of the home was apparent in this murder, as </w:t>
      </w:r>
      <w:proofErr w:type="spellStart"/>
      <w:r>
        <w:rPr>
          <w:rFonts w:ascii="Times New Roman" w:hAnsi="Times New Roman" w:cs="Times New Roman"/>
          <w:color w:val="353535"/>
          <w:lang w:val="en-US"/>
        </w:rPr>
        <w:t>Corder</w:t>
      </w:r>
      <w:proofErr w:type="spellEnd"/>
      <w:r>
        <w:rPr>
          <w:rFonts w:ascii="Times New Roman" w:hAnsi="Times New Roman" w:cs="Times New Roman"/>
          <w:color w:val="353535"/>
          <w:lang w:val="en-US"/>
        </w:rPr>
        <w:t xml:space="preserve"> had taken Maria as a lover and she bore his child. </w:t>
      </w:r>
      <w:r w:rsidRPr="00AD3486">
        <w:rPr>
          <w:rFonts w:ascii="Times New Roman" w:hAnsi="Times New Roman" w:cs="Times New Roman"/>
          <w:color w:val="353535"/>
          <w:lang w:val="en-US"/>
        </w:rPr>
        <w:t xml:space="preserve"> This story formed the basis of some of the most popular melodramas of the 19</w:t>
      </w:r>
      <w:r w:rsidRPr="00AD3486">
        <w:rPr>
          <w:rFonts w:ascii="Times New Roman" w:hAnsi="Times New Roman" w:cs="Times New Roman"/>
          <w:color w:val="353535"/>
          <w:vertAlign w:val="superscript"/>
          <w:lang w:val="en-US"/>
        </w:rPr>
        <w:t>th</w:t>
      </w:r>
      <w:r w:rsidR="00377315">
        <w:rPr>
          <w:rFonts w:ascii="Times New Roman" w:hAnsi="Times New Roman" w:cs="Times New Roman"/>
          <w:color w:val="353535"/>
          <w:lang w:val="en-US"/>
        </w:rPr>
        <w:t xml:space="preserve"> century</w:t>
      </w:r>
      <w:r>
        <w:rPr>
          <w:rFonts w:ascii="Times New Roman" w:hAnsi="Times New Roman" w:cs="Times New Roman"/>
          <w:color w:val="353535"/>
          <w:lang w:val="en-US"/>
        </w:rPr>
        <w:t>.</w:t>
      </w:r>
      <w:r w:rsidR="00377315">
        <w:rPr>
          <w:rStyle w:val="FootnoteReference"/>
          <w:rFonts w:ascii="Times New Roman" w:hAnsi="Times New Roman" w:cs="Times New Roman"/>
          <w:color w:val="353535"/>
          <w:lang w:val="en-US"/>
        </w:rPr>
        <w:footnoteReference w:id="34"/>
      </w:r>
    </w:p>
    <w:p w14:paraId="3DA609A4" w14:textId="24706F7A" w:rsidR="004112D6" w:rsidRDefault="001B60F6" w:rsidP="001B60F6">
      <w:pPr>
        <w:pStyle w:val="NoSpacing"/>
        <w:spacing w:line="480" w:lineRule="auto"/>
        <w:rPr>
          <w:rFonts w:ascii="Times New Roman" w:hAnsi="Times New Roman" w:cs="Times New Roman"/>
          <w:b/>
        </w:rPr>
      </w:pPr>
      <w:r>
        <w:rPr>
          <w:rFonts w:ascii="Times New Roman" w:hAnsi="Times New Roman" w:cs="Times New Roman"/>
          <w:color w:val="353535"/>
          <w:lang w:val="en-US"/>
        </w:rPr>
        <w:t>Domestic murder s</w:t>
      </w:r>
      <w:r w:rsidRPr="00AD3486">
        <w:rPr>
          <w:rFonts w:ascii="Times New Roman" w:hAnsi="Times New Roman" w:cs="Times New Roman"/>
          <w:color w:val="353535"/>
          <w:lang w:val="en-US"/>
        </w:rPr>
        <w:t>parked 19</w:t>
      </w:r>
      <w:r w:rsidRPr="00AD3486">
        <w:rPr>
          <w:rFonts w:ascii="Times New Roman" w:hAnsi="Times New Roman" w:cs="Times New Roman"/>
          <w:color w:val="353535"/>
          <w:vertAlign w:val="superscript"/>
          <w:lang w:val="en-US"/>
        </w:rPr>
        <w:t>th</w:t>
      </w:r>
      <w:r>
        <w:rPr>
          <w:rFonts w:ascii="Times New Roman" w:hAnsi="Times New Roman" w:cs="Times New Roman"/>
          <w:color w:val="353535"/>
          <w:lang w:val="en-US"/>
        </w:rPr>
        <w:t xml:space="preserve"> century cultural imagination. There were an </w:t>
      </w:r>
      <w:r w:rsidRPr="00AD3486">
        <w:rPr>
          <w:rFonts w:ascii="Times New Roman" w:hAnsi="Times New Roman" w:cs="Times New Roman"/>
          <w:color w:val="353535"/>
          <w:lang w:val="en-US"/>
        </w:rPr>
        <w:t>unfortunate number of spousal murder</w:t>
      </w:r>
      <w:r>
        <w:rPr>
          <w:rFonts w:ascii="Times New Roman" w:hAnsi="Times New Roman" w:cs="Times New Roman"/>
          <w:color w:val="353535"/>
          <w:lang w:val="en-US"/>
        </w:rPr>
        <w:t>s</w:t>
      </w:r>
      <w:r w:rsidRPr="00AD3486">
        <w:rPr>
          <w:rFonts w:ascii="Times New Roman" w:hAnsi="Times New Roman" w:cs="Times New Roman"/>
          <w:color w:val="353535"/>
          <w:lang w:val="en-US"/>
        </w:rPr>
        <w:t xml:space="preserve"> in 19</w:t>
      </w:r>
      <w:r w:rsidRPr="00AD3486">
        <w:rPr>
          <w:rFonts w:ascii="Times New Roman" w:hAnsi="Times New Roman" w:cs="Times New Roman"/>
          <w:color w:val="353535"/>
          <w:vertAlign w:val="superscript"/>
          <w:lang w:val="en-US"/>
        </w:rPr>
        <w:t>th</w:t>
      </w:r>
      <w:r w:rsidRPr="00AD3486">
        <w:rPr>
          <w:rFonts w:ascii="Times New Roman" w:hAnsi="Times New Roman" w:cs="Times New Roman"/>
          <w:color w:val="353535"/>
          <w:lang w:val="en-US"/>
        </w:rPr>
        <w:t xml:space="preserve"> century Britain for f</w:t>
      </w:r>
      <w:r>
        <w:rPr>
          <w:rFonts w:ascii="Times New Roman" w:hAnsi="Times New Roman" w:cs="Times New Roman"/>
          <w:color w:val="353535"/>
          <w:lang w:val="en-US"/>
        </w:rPr>
        <w:t>inancial reasons, revenge etc. M</w:t>
      </w:r>
      <w:r w:rsidRPr="00AD3486">
        <w:rPr>
          <w:rFonts w:ascii="Times New Roman" w:hAnsi="Times New Roman" w:cs="Times New Roman"/>
          <w:color w:val="353535"/>
          <w:lang w:val="en-US"/>
        </w:rPr>
        <w:t xml:space="preserve">any </w:t>
      </w:r>
      <w:r>
        <w:rPr>
          <w:rFonts w:ascii="Times New Roman" w:hAnsi="Times New Roman" w:cs="Times New Roman"/>
          <w:color w:val="353535"/>
          <w:lang w:val="en-US"/>
        </w:rPr>
        <w:t xml:space="preserve">of these </w:t>
      </w:r>
      <w:r w:rsidRPr="00AD3486">
        <w:rPr>
          <w:rFonts w:ascii="Times New Roman" w:hAnsi="Times New Roman" w:cs="Times New Roman"/>
          <w:color w:val="353535"/>
          <w:lang w:val="en-US"/>
        </w:rPr>
        <w:t xml:space="preserve">murders went by the </w:t>
      </w:r>
      <w:r>
        <w:rPr>
          <w:rFonts w:ascii="Times New Roman" w:hAnsi="Times New Roman" w:cs="Times New Roman"/>
          <w:color w:val="353535"/>
          <w:lang w:val="en-US"/>
        </w:rPr>
        <w:t xml:space="preserve">wayside as they weren’t unusual </w:t>
      </w:r>
      <w:r w:rsidRPr="00AD3486">
        <w:rPr>
          <w:rFonts w:ascii="Times New Roman" w:hAnsi="Times New Roman" w:cs="Times New Roman"/>
          <w:color w:val="353535"/>
          <w:lang w:val="en-US"/>
        </w:rPr>
        <w:t>and most didn’t receive nearly the attention (maybe a news</w:t>
      </w:r>
      <w:r w:rsidR="001D3919">
        <w:rPr>
          <w:rFonts w:ascii="Times New Roman" w:hAnsi="Times New Roman" w:cs="Times New Roman"/>
          <w:color w:val="353535"/>
          <w:lang w:val="en-US"/>
        </w:rPr>
        <w:t>paper article or two).</w:t>
      </w:r>
      <w:r w:rsidR="001D3919">
        <w:rPr>
          <w:rStyle w:val="FootnoteReference"/>
          <w:rFonts w:ascii="Times New Roman" w:hAnsi="Times New Roman" w:cs="Times New Roman"/>
          <w:color w:val="353535"/>
          <w:lang w:val="en-US"/>
        </w:rPr>
        <w:footnoteReference w:id="35"/>
      </w:r>
      <w:r>
        <w:rPr>
          <w:rFonts w:ascii="Times New Roman" w:hAnsi="Times New Roman" w:cs="Times New Roman"/>
          <w:color w:val="353535"/>
          <w:lang w:val="en-US"/>
        </w:rPr>
        <w:t xml:space="preserve"> Domestic murder was particularly sensational because it shed a deadly and terrifying light on the otherwise idyllic family structure. Walsh described the family as the</w:t>
      </w:r>
      <w:r w:rsidRPr="00AD3486">
        <w:rPr>
          <w:rFonts w:ascii="Times New Roman" w:hAnsi="Times New Roman" w:cs="Times New Roman"/>
          <w:color w:val="353535"/>
          <w:lang w:val="en-US"/>
        </w:rPr>
        <w:t xml:space="preserve"> </w:t>
      </w:r>
      <w:r>
        <w:rPr>
          <w:rFonts w:ascii="Times New Roman" w:hAnsi="Times New Roman" w:cs="Times New Roman"/>
          <w:color w:val="353535"/>
          <w:lang w:val="en-US"/>
        </w:rPr>
        <w:t>“</w:t>
      </w:r>
      <w:r w:rsidRPr="00AD3486">
        <w:rPr>
          <w:rFonts w:ascii="Times New Roman" w:hAnsi="Times New Roman" w:cs="Times New Roman"/>
          <w:color w:val="353535"/>
          <w:lang w:val="en-US"/>
        </w:rPr>
        <w:t>stable domestic space at t</w:t>
      </w:r>
      <w:r w:rsidR="006A3EAD">
        <w:rPr>
          <w:rFonts w:ascii="Times New Roman" w:hAnsi="Times New Roman" w:cs="Times New Roman"/>
          <w:color w:val="353535"/>
          <w:lang w:val="en-US"/>
        </w:rPr>
        <w:t>he heart of national identity</w:t>
      </w:r>
      <w:r>
        <w:rPr>
          <w:rFonts w:ascii="Times New Roman" w:hAnsi="Times New Roman" w:cs="Times New Roman"/>
          <w:color w:val="353535"/>
          <w:lang w:val="en-US"/>
        </w:rPr>
        <w:t>.</w:t>
      </w:r>
      <w:r w:rsidR="006A3EAD">
        <w:rPr>
          <w:rFonts w:ascii="Times New Roman" w:hAnsi="Times New Roman" w:cs="Times New Roman"/>
          <w:color w:val="353535"/>
          <w:lang w:val="en-US"/>
        </w:rPr>
        <w:t>”</w:t>
      </w:r>
      <w:r w:rsidR="006A3EAD">
        <w:rPr>
          <w:rStyle w:val="FootnoteReference"/>
          <w:rFonts w:ascii="Times New Roman" w:hAnsi="Times New Roman" w:cs="Times New Roman"/>
          <w:color w:val="353535"/>
          <w:lang w:val="en-US"/>
        </w:rPr>
        <w:footnoteReference w:id="36"/>
      </w:r>
      <w:r>
        <w:rPr>
          <w:rFonts w:ascii="Times New Roman" w:hAnsi="Times New Roman" w:cs="Times New Roman"/>
          <w:color w:val="353535"/>
          <w:lang w:val="en-US"/>
        </w:rPr>
        <w:t xml:space="preserve"> The idy</w:t>
      </w:r>
      <w:r w:rsidR="006324D7">
        <w:rPr>
          <w:rFonts w:ascii="Times New Roman" w:hAnsi="Times New Roman" w:cs="Times New Roman"/>
          <w:color w:val="353535"/>
          <w:lang w:val="en-US"/>
        </w:rPr>
        <w:t>llic family was important to</w:t>
      </w:r>
      <w:r>
        <w:rPr>
          <w:rFonts w:ascii="Times New Roman" w:hAnsi="Times New Roman" w:cs="Times New Roman"/>
          <w:color w:val="353535"/>
          <w:lang w:val="en-US"/>
        </w:rPr>
        <w:t xml:space="preserve"> Victorians, and when instances of domestic violence or murder graced the pages of the media, there was</w:t>
      </w:r>
      <w:r w:rsidR="006324D7">
        <w:rPr>
          <w:rFonts w:ascii="Times New Roman" w:hAnsi="Times New Roman" w:cs="Times New Roman"/>
          <w:color w:val="353535"/>
          <w:lang w:val="en-US"/>
        </w:rPr>
        <w:t xml:space="preserve"> both</w:t>
      </w:r>
      <w:r>
        <w:rPr>
          <w:rFonts w:ascii="Times New Roman" w:hAnsi="Times New Roman" w:cs="Times New Roman"/>
          <w:color w:val="353535"/>
          <w:lang w:val="en-US"/>
        </w:rPr>
        <w:t xml:space="preserve"> public discomfort and intrigue.</w:t>
      </w:r>
    </w:p>
    <w:p w14:paraId="36C0C18D" w14:textId="1D12C9B9" w:rsidR="003D3E2A" w:rsidRPr="00AD3486" w:rsidRDefault="003D3E2A" w:rsidP="00AB5AA1">
      <w:pPr>
        <w:pStyle w:val="NoSpacing"/>
        <w:spacing w:line="480" w:lineRule="auto"/>
        <w:ind w:firstLine="720"/>
        <w:rPr>
          <w:rFonts w:ascii="Times New Roman" w:eastAsia="Times New Roman" w:hAnsi="Times New Roman" w:cs="Times New Roman"/>
        </w:rPr>
      </w:pPr>
      <w:r w:rsidRPr="00AD3486">
        <w:rPr>
          <w:rFonts w:ascii="Times New Roman" w:eastAsia="Times New Roman" w:hAnsi="Times New Roman" w:cs="Times New Roman"/>
        </w:rPr>
        <w:t>The driving force of the sensation surrounding murder and crime in 19</w:t>
      </w:r>
      <w:r w:rsidRPr="00AD3486">
        <w:rPr>
          <w:rFonts w:ascii="Times New Roman" w:eastAsia="Times New Roman" w:hAnsi="Times New Roman" w:cs="Times New Roman"/>
          <w:vertAlign w:val="superscript"/>
        </w:rPr>
        <w:t>th</w:t>
      </w:r>
      <w:r w:rsidRPr="00AD3486">
        <w:rPr>
          <w:rFonts w:ascii="Times New Roman" w:eastAsia="Times New Roman" w:hAnsi="Times New Roman" w:cs="Times New Roman"/>
        </w:rPr>
        <w:t xml:space="preserve"> century Britain </w:t>
      </w:r>
      <w:r w:rsidR="007B0186">
        <w:rPr>
          <w:rFonts w:ascii="Times New Roman" w:eastAsia="Times New Roman" w:hAnsi="Times New Roman" w:cs="Times New Roman"/>
        </w:rPr>
        <w:t>was the media coverage that it</w:t>
      </w:r>
      <w:r w:rsidRPr="00AD3486">
        <w:rPr>
          <w:rFonts w:ascii="Times New Roman" w:eastAsia="Times New Roman" w:hAnsi="Times New Roman" w:cs="Times New Roman"/>
        </w:rPr>
        <w:t xml:space="preserve"> received, which could reach Victorians of all ages and social </w:t>
      </w:r>
      <w:r w:rsidR="00CC083D">
        <w:rPr>
          <w:rFonts w:ascii="Times New Roman" w:eastAsia="Times New Roman" w:hAnsi="Times New Roman" w:cs="Times New Roman"/>
        </w:rPr>
        <w:t>c</w:t>
      </w:r>
      <w:r w:rsidR="00C931B7">
        <w:rPr>
          <w:rFonts w:ascii="Times New Roman" w:eastAsia="Times New Roman" w:hAnsi="Times New Roman" w:cs="Times New Roman"/>
        </w:rPr>
        <w:t>lasses. Sensational stories had become</w:t>
      </w:r>
      <w:r w:rsidRPr="00AD3486">
        <w:rPr>
          <w:rFonts w:ascii="Times New Roman" w:eastAsia="Times New Roman" w:hAnsi="Times New Roman" w:cs="Times New Roman"/>
        </w:rPr>
        <w:t xml:space="preserve"> a morbid addiction and served as a “form of cultural malaise; addictive, deb</w:t>
      </w:r>
      <w:r w:rsidR="001C3143">
        <w:rPr>
          <w:rFonts w:ascii="Times New Roman" w:eastAsia="Times New Roman" w:hAnsi="Times New Roman" w:cs="Times New Roman"/>
        </w:rPr>
        <w:t>ilitating and self-indulgent</w:t>
      </w:r>
      <w:r w:rsidR="00CC083D">
        <w:rPr>
          <w:rFonts w:ascii="Times New Roman" w:eastAsia="Times New Roman" w:hAnsi="Times New Roman" w:cs="Times New Roman"/>
        </w:rPr>
        <w:t>.</w:t>
      </w:r>
      <w:r w:rsidR="001C3143">
        <w:rPr>
          <w:rFonts w:ascii="Times New Roman" w:eastAsia="Times New Roman" w:hAnsi="Times New Roman" w:cs="Times New Roman"/>
        </w:rPr>
        <w:t>”</w:t>
      </w:r>
      <w:r w:rsidR="001C3143">
        <w:rPr>
          <w:rStyle w:val="FootnoteReference"/>
          <w:rFonts w:ascii="Times New Roman" w:eastAsia="Times New Roman" w:hAnsi="Times New Roman" w:cs="Times New Roman"/>
        </w:rPr>
        <w:footnoteReference w:id="37"/>
      </w:r>
      <w:r w:rsidR="00CC083D">
        <w:rPr>
          <w:rFonts w:ascii="Times New Roman" w:eastAsia="Times New Roman" w:hAnsi="Times New Roman" w:cs="Times New Roman"/>
        </w:rPr>
        <w:t xml:space="preserve"> The details recounted in sensational crime stories</w:t>
      </w:r>
      <w:r w:rsidRPr="00AD3486">
        <w:rPr>
          <w:rFonts w:ascii="Times New Roman" w:eastAsia="Times New Roman" w:hAnsi="Times New Roman" w:cs="Times New Roman"/>
        </w:rPr>
        <w:t xml:space="preserve"> in many of the media sources (newspapers, broadsides) had elements commonly found in melodrama. Maunder and Moore suggested that what made a sensational crime story were all the elements of sensational fiction</w:t>
      </w:r>
      <w:r w:rsidR="00B63100">
        <w:rPr>
          <w:rFonts w:ascii="Times New Roman" w:eastAsia="Times New Roman" w:hAnsi="Times New Roman" w:cs="Times New Roman"/>
        </w:rPr>
        <w:t>,</w:t>
      </w:r>
      <w:r w:rsidRPr="00AD3486">
        <w:rPr>
          <w:rFonts w:ascii="Times New Roman" w:eastAsia="Times New Roman" w:hAnsi="Times New Roman" w:cs="Times New Roman"/>
        </w:rPr>
        <w:t xml:space="preserve"> which </w:t>
      </w:r>
      <w:r w:rsidR="00397450">
        <w:rPr>
          <w:rFonts w:ascii="Times New Roman" w:eastAsia="Times New Roman" w:hAnsi="Times New Roman" w:cs="Times New Roman"/>
        </w:rPr>
        <w:t>would have included thrilling characters, romance, realism and themes that wrestled with social anxieties</w:t>
      </w:r>
      <w:r w:rsidR="00AB5AA1">
        <w:rPr>
          <w:rFonts w:ascii="Times New Roman" w:eastAsia="Times New Roman" w:hAnsi="Times New Roman" w:cs="Times New Roman"/>
        </w:rPr>
        <w:t>.</w:t>
      </w:r>
      <w:r w:rsidR="00B63100">
        <w:rPr>
          <w:rStyle w:val="FootnoteReference"/>
          <w:rFonts w:ascii="Times New Roman" w:eastAsia="Times New Roman" w:hAnsi="Times New Roman" w:cs="Times New Roman"/>
        </w:rPr>
        <w:footnoteReference w:id="38"/>
      </w:r>
    </w:p>
    <w:p w14:paraId="1BCE0149" w14:textId="4B8F0657" w:rsidR="003D3E2A" w:rsidRPr="00AD3486" w:rsidRDefault="003D3E2A" w:rsidP="003D3E2A">
      <w:pPr>
        <w:pStyle w:val="NoSpacing"/>
        <w:spacing w:line="480" w:lineRule="auto"/>
        <w:rPr>
          <w:rFonts w:ascii="Times New Roman" w:hAnsi="Times New Roman" w:cs="Times New Roman"/>
          <w:color w:val="353535"/>
          <w:lang w:val="en-US"/>
        </w:rPr>
      </w:pPr>
      <w:r w:rsidRPr="00AD3486">
        <w:rPr>
          <w:rFonts w:ascii="Times New Roman" w:eastAsia="Times New Roman" w:hAnsi="Times New Roman" w:cs="Times New Roman"/>
        </w:rPr>
        <w:t xml:space="preserve"> </w:t>
      </w:r>
      <w:r>
        <w:rPr>
          <w:rFonts w:ascii="Times New Roman" w:eastAsia="Times New Roman" w:hAnsi="Times New Roman" w:cs="Times New Roman"/>
        </w:rPr>
        <w:tab/>
      </w:r>
      <w:r w:rsidR="00AF30B1">
        <w:rPr>
          <w:rFonts w:ascii="Times New Roman" w:eastAsia="Times New Roman" w:hAnsi="Times New Roman" w:cs="Times New Roman"/>
        </w:rPr>
        <w:t>British media of the time</w:t>
      </w:r>
      <w:r w:rsidRPr="00AD3486">
        <w:rPr>
          <w:rFonts w:ascii="Times New Roman" w:eastAsia="Times New Roman" w:hAnsi="Times New Roman" w:cs="Times New Roman"/>
        </w:rPr>
        <w:t xml:space="preserve"> were very theatrical in playing up the details and creating the most titillating story possible. In 19th century Britain came a “rise of inexpensive mass print culture and an expansion in readership,” which “led to a growing public fascina</w:t>
      </w:r>
      <w:r w:rsidR="00061562">
        <w:rPr>
          <w:rFonts w:ascii="Times New Roman" w:eastAsia="Times New Roman" w:hAnsi="Times New Roman" w:cs="Times New Roman"/>
        </w:rPr>
        <w:t>tion with crime and punishment.”</w:t>
      </w:r>
      <w:r w:rsidR="00061562">
        <w:rPr>
          <w:rStyle w:val="FootnoteReference"/>
          <w:rFonts w:ascii="Times New Roman" w:eastAsia="Times New Roman" w:hAnsi="Times New Roman" w:cs="Times New Roman"/>
        </w:rPr>
        <w:footnoteReference w:id="39"/>
      </w:r>
      <w:r w:rsidR="00061562">
        <w:rPr>
          <w:rFonts w:ascii="Times New Roman" w:eastAsia="Times New Roman" w:hAnsi="Times New Roman" w:cs="Times New Roman"/>
        </w:rPr>
        <w:t xml:space="preserve"> </w:t>
      </w:r>
      <w:r w:rsidRPr="00AD3486">
        <w:rPr>
          <w:rFonts w:ascii="Times New Roman" w:eastAsia="Times New Roman" w:hAnsi="Times New Roman" w:cs="Times New Roman"/>
        </w:rPr>
        <w:t xml:space="preserve">Even the simplest of crime stories </w:t>
      </w:r>
      <w:r w:rsidR="00CC083D">
        <w:rPr>
          <w:rFonts w:ascii="Times New Roman" w:eastAsia="Times New Roman" w:hAnsi="Times New Roman" w:cs="Times New Roman"/>
        </w:rPr>
        <w:t>made the</w:t>
      </w:r>
      <w:r w:rsidRPr="00AD3486">
        <w:rPr>
          <w:rFonts w:ascii="Times New Roman" w:eastAsia="Times New Roman" w:hAnsi="Times New Roman" w:cs="Times New Roman"/>
        </w:rPr>
        <w:t xml:space="preserve"> front pages of newspapers and, like in the case of </w:t>
      </w:r>
      <w:proofErr w:type="spellStart"/>
      <w:r w:rsidRPr="00AD3486">
        <w:rPr>
          <w:rFonts w:ascii="Times New Roman" w:eastAsia="Times New Roman" w:hAnsi="Times New Roman" w:cs="Times New Roman"/>
        </w:rPr>
        <w:t>Corder</w:t>
      </w:r>
      <w:proofErr w:type="spellEnd"/>
      <w:r w:rsidRPr="00AD3486">
        <w:rPr>
          <w:rFonts w:ascii="Times New Roman" w:eastAsia="Times New Roman" w:hAnsi="Times New Roman" w:cs="Times New Roman"/>
        </w:rPr>
        <w:t xml:space="preserve"> and Marten, turned into stories found in novels.</w:t>
      </w:r>
      <w:r>
        <w:rPr>
          <w:rFonts w:ascii="Times New Roman" w:eastAsia="Times New Roman" w:hAnsi="Times New Roman" w:cs="Times New Roman"/>
        </w:rPr>
        <w:t xml:space="preserve"> </w:t>
      </w:r>
      <w:r w:rsidRPr="00AD3486">
        <w:rPr>
          <w:rFonts w:ascii="Times New Roman" w:eastAsia="Times New Roman" w:hAnsi="Times New Roman" w:cs="Times New Roman"/>
        </w:rPr>
        <w:t xml:space="preserve">The first mention of the case in the Times was on April 23, 1828, the day before </w:t>
      </w:r>
      <w:proofErr w:type="spellStart"/>
      <w:r w:rsidRPr="00AD3486">
        <w:rPr>
          <w:rFonts w:ascii="Times New Roman" w:eastAsia="Times New Roman" w:hAnsi="Times New Roman" w:cs="Times New Roman"/>
        </w:rPr>
        <w:t>Corder</w:t>
      </w:r>
      <w:proofErr w:type="spellEnd"/>
      <w:r w:rsidRPr="00AD3486">
        <w:rPr>
          <w:rFonts w:ascii="Times New Roman" w:eastAsia="Times New Roman" w:hAnsi="Times New Roman" w:cs="Times New Roman"/>
        </w:rPr>
        <w:t xml:space="preserve"> was arrested and the story continues to be </w:t>
      </w:r>
      <w:r w:rsidR="003E2C29">
        <w:rPr>
          <w:rFonts w:ascii="Times New Roman" w:eastAsia="Times New Roman" w:hAnsi="Times New Roman" w:cs="Times New Roman"/>
        </w:rPr>
        <w:t>told to</w:t>
      </w:r>
      <w:r w:rsidRPr="00AD3486">
        <w:rPr>
          <w:rFonts w:ascii="Times New Roman" w:eastAsia="Times New Roman" w:hAnsi="Times New Roman" w:cs="Times New Roman"/>
        </w:rPr>
        <w:t>day.</w:t>
      </w:r>
      <w:r w:rsidR="00A610E1">
        <w:rPr>
          <w:rStyle w:val="FootnoteReference"/>
          <w:rFonts w:ascii="Times New Roman" w:eastAsia="Times New Roman" w:hAnsi="Times New Roman" w:cs="Times New Roman"/>
        </w:rPr>
        <w:footnoteReference w:id="40"/>
      </w:r>
      <w:r w:rsidRPr="00AD3486">
        <w:rPr>
          <w:rFonts w:ascii="Times New Roman" w:eastAsia="Times New Roman" w:hAnsi="Times New Roman" w:cs="Times New Roman"/>
        </w:rPr>
        <w:t xml:space="preserve"> </w:t>
      </w:r>
      <w:r w:rsidRPr="00AD3486">
        <w:rPr>
          <w:rFonts w:ascii="Times New Roman" w:hAnsi="Times New Roman" w:cs="Times New Roman"/>
          <w:color w:val="353535"/>
          <w:lang w:val="en-US"/>
        </w:rPr>
        <w:t>Between April 23 and September 20</w:t>
      </w:r>
      <w:r w:rsidRPr="00AD3486">
        <w:rPr>
          <w:rFonts w:ascii="Times New Roman" w:hAnsi="Times New Roman" w:cs="Times New Roman"/>
          <w:color w:val="353535"/>
          <w:vertAlign w:val="superscript"/>
          <w:lang w:val="en-US"/>
        </w:rPr>
        <w:t>th</w:t>
      </w:r>
      <w:r w:rsidRPr="00AD3486">
        <w:rPr>
          <w:rFonts w:ascii="Times New Roman" w:hAnsi="Times New Roman" w:cs="Times New Roman"/>
          <w:color w:val="353535"/>
          <w:lang w:val="en-US"/>
        </w:rPr>
        <w:t xml:space="preserve"> 1828, the murder was covered in the </w:t>
      </w:r>
      <w:r w:rsidRPr="00AD3486">
        <w:rPr>
          <w:rFonts w:ascii="Times New Roman" w:hAnsi="Times New Roman" w:cs="Times New Roman"/>
          <w:i/>
          <w:color w:val="353535"/>
          <w:lang w:val="en-US"/>
        </w:rPr>
        <w:t>Times</w:t>
      </w:r>
      <w:r w:rsidR="00120CC7">
        <w:rPr>
          <w:rFonts w:ascii="Times New Roman" w:hAnsi="Times New Roman" w:cs="Times New Roman"/>
          <w:color w:val="353535"/>
          <w:lang w:val="en-US"/>
        </w:rPr>
        <w:t xml:space="preserve"> 21 times</w:t>
      </w:r>
      <w:r w:rsidRPr="00AD3486">
        <w:rPr>
          <w:rFonts w:ascii="Times New Roman" w:hAnsi="Times New Roman" w:cs="Times New Roman"/>
          <w:color w:val="353535"/>
          <w:lang w:val="en-US"/>
        </w:rPr>
        <w:t>.</w:t>
      </w:r>
      <w:r w:rsidR="00120CC7">
        <w:rPr>
          <w:rStyle w:val="FootnoteReference"/>
          <w:rFonts w:ascii="Times New Roman" w:hAnsi="Times New Roman" w:cs="Times New Roman"/>
          <w:color w:val="353535"/>
          <w:lang w:val="en-US"/>
        </w:rPr>
        <w:footnoteReference w:id="41"/>
      </w:r>
      <w:r w:rsidRPr="00AD3486">
        <w:rPr>
          <w:rFonts w:ascii="Times New Roman" w:hAnsi="Times New Roman" w:cs="Times New Roman"/>
          <w:color w:val="353535"/>
          <w:lang w:val="en-US"/>
        </w:rPr>
        <w:t xml:space="preserve"> The </w:t>
      </w:r>
      <w:proofErr w:type="gramStart"/>
      <w:r w:rsidRPr="00AD3486">
        <w:rPr>
          <w:rFonts w:ascii="Times New Roman" w:hAnsi="Times New Roman" w:cs="Times New Roman"/>
          <w:color w:val="353535"/>
          <w:lang w:val="en-US"/>
        </w:rPr>
        <w:t>case was viewed as a “living melodrama by the pu</w:t>
      </w:r>
      <w:r w:rsidR="004D022D">
        <w:rPr>
          <w:rFonts w:ascii="Times New Roman" w:hAnsi="Times New Roman" w:cs="Times New Roman"/>
          <w:color w:val="353535"/>
          <w:lang w:val="en-US"/>
        </w:rPr>
        <w:t>blic and the press</w:t>
      </w:r>
      <w:proofErr w:type="gramEnd"/>
      <w:r w:rsidR="004D022D">
        <w:rPr>
          <w:rFonts w:ascii="Times New Roman" w:hAnsi="Times New Roman" w:cs="Times New Roman"/>
          <w:color w:val="353535"/>
          <w:lang w:val="en-US"/>
        </w:rPr>
        <w:t>.”</w:t>
      </w:r>
      <w:r w:rsidR="004A591B">
        <w:rPr>
          <w:rFonts w:ascii="Times New Roman" w:hAnsi="Times New Roman" w:cs="Times New Roman"/>
          <w:color w:val="353535"/>
          <w:lang w:val="en-US"/>
        </w:rPr>
        <w:t xml:space="preserve"> </w:t>
      </w:r>
      <w:r w:rsidR="004D022D">
        <w:rPr>
          <w:rStyle w:val="FootnoteReference"/>
          <w:rFonts w:ascii="Times New Roman" w:hAnsi="Times New Roman" w:cs="Times New Roman"/>
          <w:color w:val="353535"/>
          <w:lang w:val="en-US"/>
        </w:rPr>
        <w:footnoteReference w:id="42"/>
      </w:r>
      <w:r>
        <w:rPr>
          <w:rFonts w:ascii="Times New Roman" w:hAnsi="Times New Roman" w:cs="Times New Roman"/>
          <w:color w:val="353535"/>
          <w:lang w:val="en-US"/>
        </w:rPr>
        <w:t xml:space="preserve"> </w:t>
      </w:r>
      <w:r w:rsidRPr="00AD3486">
        <w:rPr>
          <w:rFonts w:ascii="Times New Roman" w:eastAsia="Times New Roman" w:hAnsi="Times New Roman" w:cs="Times New Roman"/>
        </w:rPr>
        <w:t>There was always the concern of fact blurring into fiction, which applied to reading material of all classes. Broadsides and “penny dreadfuls” were inexpensive, accessible reading material that sensationalized and glamourized many different types of crime.</w:t>
      </w:r>
    </w:p>
    <w:p w14:paraId="491416CD" w14:textId="238813C4" w:rsidR="003D3E2A" w:rsidRPr="00AD3486" w:rsidRDefault="003D3E2A" w:rsidP="003D3E2A">
      <w:pPr>
        <w:pStyle w:val="NoSpacing"/>
        <w:spacing w:line="480" w:lineRule="auto"/>
        <w:rPr>
          <w:rFonts w:ascii="Times New Roman" w:eastAsia="Times New Roman" w:hAnsi="Times New Roman" w:cs="Times New Roman"/>
        </w:rPr>
      </w:pPr>
      <w:r w:rsidRPr="00AD3486">
        <w:rPr>
          <w:rFonts w:ascii="Times New Roman" w:eastAsia="Times New Roman" w:hAnsi="Times New Roman" w:cs="Times New Roman"/>
        </w:rPr>
        <w:tab/>
        <w:t>Penny dreadfuls, otherwise known as penny bloods, were inexpensive crime stories that “specialized in drawn-out melodramatic tales of crime, adventure and romance” and capitalized on the hungry market of thrill-</w:t>
      </w:r>
      <w:r w:rsidR="004A591B">
        <w:rPr>
          <w:rFonts w:ascii="Times New Roman" w:eastAsia="Times New Roman" w:hAnsi="Times New Roman" w:cs="Times New Roman"/>
        </w:rPr>
        <w:t>seeking Victorians</w:t>
      </w:r>
      <w:r w:rsidRPr="00AD3486">
        <w:rPr>
          <w:rFonts w:ascii="Times New Roman" w:eastAsia="Times New Roman" w:hAnsi="Times New Roman" w:cs="Times New Roman"/>
        </w:rPr>
        <w:t>.</w:t>
      </w:r>
      <w:r w:rsidR="004A591B">
        <w:rPr>
          <w:rStyle w:val="FootnoteReference"/>
          <w:rFonts w:ascii="Times New Roman" w:eastAsia="Times New Roman" w:hAnsi="Times New Roman" w:cs="Times New Roman"/>
        </w:rPr>
        <w:footnoteReference w:id="43"/>
      </w:r>
      <w:r w:rsidRPr="00AD3486">
        <w:rPr>
          <w:rFonts w:ascii="Times New Roman" w:eastAsia="Times New Roman" w:hAnsi="Times New Roman" w:cs="Times New Roman"/>
        </w:rPr>
        <w:t xml:space="preserve"> These “true </w:t>
      </w:r>
      <w:r w:rsidR="00204161">
        <w:rPr>
          <w:rFonts w:ascii="Times New Roman" w:eastAsia="Times New Roman" w:hAnsi="Times New Roman" w:cs="Times New Roman"/>
        </w:rPr>
        <w:t>crime” stories were known to</w:t>
      </w:r>
      <w:r w:rsidRPr="00AD3486">
        <w:rPr>
          <w:rFonts w:ascii="Times New Roman" w:eastAsia="Times New Roman" w:hAnsi="Times New Roman" w:cs="Times New Roman"/>
        </w:rPr>
        <w:t xml:space="preserve"> “revel in the brutality and callousness” of t</w:t>
      </w:r>
      <w:r w:rsidR="00E069DF">
        <w:rPr>
          <w:rFonts w:ascii="Times New Roman" w:eastAsia="Times New Roman" w:hAnsi="Times New Roman" w:cs="Times New Roman"/>
        </w:rPr>
        <w:t>he crimes they were describing.</w:t>
      </w:r>
      <w:r w:rsidR="00E069DF">
        <w:rPr>
          <w:rStyle w:val="FootnoteReference"/>
          <w:rFonts w:ascii="Times New Roman" w:eastAsia="Times New Roman" w:hAnsi="Times New Roman" w:cs="Times New Roman"/>
        </w:rPr>
        <w:footnoteReference w:id="44"/>
      </w:r>
      <w:r w:rsidRPr="00AD3486">
        <w:rPr>
          <w:rFonts w:ascii="Times New Roman" w:eastAsia="Times New Roman" w:hAnsi="Times New Roman" w:cs="Times New Roman"/>
        </w:rPr>
        <w:t xml:space="preserve"> </w:t>
      </w:r>
    </w:p>
    <w:p w14:paraId="22BB82AD" w14:textId="4D021BAD" w:rsidR="003D3E2A" w:rsidRPr="00AD3486" w:rsidRDefault="003D3E2A" w:rsidP="003D3E2A">
      <w:pPr>
        <w:pStyle w:val="NoSpacing"/>
        <w:spacing w:line="480" w:lineRule="auto"/>
        <w:rPr>
          <w:rFonts w:ascii="Times New Roman" w:eastAsia="Times New Roman" w:hAnsi="Times New Roman" w:cs="Times New Roman"/>
        </w:rPr>
      </w:pPr>
      <w:r w:rsidRPr="00AD3486">
        <w:rPr>
          <w:rFonts w:ascii="Times New Roman" w:eastAsia="Times New Roman" w:hAnsi="Times New Roman" w:cs="Times New Roman"/>
        </w:rPr>
        <w:tab/>
        <w:t>The Newgate Calendar was a collection of crime stories. These stories would include titillating details including specific details of the execution and last words of the condemned. Newer volumes of this collection were released, as more and more crime stories became the hit of broadsides and</w:t>
      </w:r>
      <w:r w:rsidR="00414845">
        <w:rPr>
          <w:rFonts w:ascii="Times New Roman" w:eastAsia="Times New Roman" w:hAnsi="Times New Roman" w:cs="Times New Roman"/>
        </w:rPr>
        <w:t xml:space="preserve"> penny dreadfuls</w:t>
      </w:r>
      <w:r w:rsidRPr="00AD3486">
        <w:rPr>
          <w:rFonts w:ascii="Times New Roman" w:eastAsia="Times New Roman" w:hAnsi="Times New Roman" w:cs="Times New Roman"/>
        </w:rPr>
        <w:t>.</w:t>
      </w:r>
      <w:r w:rsidR="00414845">
        <w:rPr>
          <w:rStyle w:val="FootnoteReference"/>
          <w:rFonts w:ascii="Times New Roman" w:eastAsia="Times New Roman" w:hAnsi="Times New Roman" w:cs="Times New Roman"/>
        </w:rPr>
        <w:footnoteReference w:id="45"/>
      </w:r>
      <w:r w:rsidRPr="00AD3486">
        <w:rPr>
          <w:rFonts w:ascii="Times New Roman" w:eastAsia="Times New Roman" w:hAnsi="Times New Roman" w:cs="Times New Roman"/>
        </w:rPr>
        <w:t xml:space="preserve"> Old photos depict scenes of mothers handing their children these collections, as if to teach them a lesson in crim</w:t>
      </w:r>
      <w:r w:rsidR="00DD6DEA">
        <w:rPr>
          <w:rFonts w:ascii="Times New Roman" w:eastAsia="Times New Roman" w:hAnsi="Times New Roman" w:cs="Times New Roman"/>
        </w:rPr>
        <w:t>e and punishment</w:t>
      </w:r>
      <w:r w:rsidRPr="00AD3486">
        <w:rPr>
          <w:rFonts w:ascii="Times New Roman" w:eastAsia="Times New Roman" w:hAnsi="Times New Roman" w:cs="Times New Roman"/>
        </w:rPr>
        <w:t>.</w:t>
      </w:r>
      <w:r w:rsidR="00DD6DEA">
        <w:rPr>
          <w:rStyle w:val="FootnoteReference"/>
          <w:rFonts w:ascii="Times New Roman" w:eastAsia="Times New Roman" w:hAnsi="Times New Roman" w:cs="Times New Roman"/>
        </w:rPr>
        <w:footnoteReference w:id="46"/>
      </w:r>
      <w:r w:rsidRPr="00AD3486">
        <w:rPr>
          <w:rFonts w:ascii="Times New Roman" w:eastAsia="Times New Roman" w:hAnsi="Times New Roman" w:cs="Times New Roman"/>
        </w:rPr>
        <w:t xml:space="preserve"> </w:t>
      </w:r>
      <w:r w:rsidR="00BB7594">
        <w:rPr>
          <w:rFonts w:ascii="Times New Roman" w:eastAsia="Times New Roman" w:hAnsi="Times New Roman" w:cs="Times New Roman"/>
        </w:rPr>
        <w:t>In a tale of a similar occurrence</w:t>
      </w:r>
      <w:r w:rsidRPr="00AD3486">
        <w:rPr>
          <w:rFonts w:ascii="Times New Roman" w:eastAsia="Times New Roman" w:hAnsi="Times New Roman" w:cs="Times New Roman"/>
        </w:rPr>
        <w:t xml:space="preserve"> as </w:t>
      </w:r>
      <w:proofErr w:type="spellStart"/>
      <w:r w:rsidRPr="00AD3486">
        <w:rPr>
          <w:rFonts w:ascii="Times New Roman" w:eastAsia="Times New Roman" w:hAnsi="Times New Roman" w:cs="Times New Roman"/>
        </w:rPr>
        <w:t>Corder</w:t>
      </w:r>
      <w:proofErr w:type="spellEnd"/>
      <w:r w:rsidRPr="00AD3486">
        <w:rPr>
          <w:rFonts w:ascii="Times New Roman" w:eastAsia="Times New Roman" w:hAnsi="Times New Roman" w:cs="Times New Roman"/>
        </w:rPr>
        <w:t xml:space="preserve"> and Marten, one broadside was entitled “George </w:t>
      </w:r>
      <w:proofErr w:type="spellStart"/>
      <w:r w:rsidRPr="00AD3486">
        <w:rPr>
          <w:rFonts w:ascii="Times New Roman" w:eastAsia="Times New Roman" w:hAnsi="Times New Roman" w:cs="Times New Roman"/>
        </w:rPr>
        <w:t>Caddell</w:t>
      </w:r>
      <w:proofErr w:type="spellEnd"/>
      <w:r w:rsidRPr="00AD3486">
        <w:rPr>
          <w:rFonts w:ascii="Times New Roman" w:eastAsia="Times New Roman" w:hAnsi="Times New Roman" w:cs="Times New Roman"/>
        </w:rPr>
        <w:t xml:space="preserve">, Executed for the cruel murder of Miss Price, who he had </w:t>
      </w:r>
      <w:r w:rsidR="00341CA9">
        <w:rPr>
          <w:rFonts w:ascii="Times New Roman" w:eastAsia="Times New Roman" w:hAnsi="Times New Roman" w:cs="Times New Roman"/>
        </w:rPr>
        <w:t>seduced and promised marriage.”</w:t>
      </w:r>
      <w:r w:rsidR="00341CA9">
        <w:rPr>
          <w:rStyle w:val="FootnoteReference"/>
          <w:rFonts w:ascii="Times New Roman" w:eastAsia="Times New Roman" w:hAnsi="Times New Roman" w:cs="Times New Roman"/>
        </w:rPr>
        <w:footnoteReference w:id="47"/>
      </w:r>
      <w:r w:rsidRPr="00AD3486">
        <w:rPr>
          <w:rFonts w:ascii="Times New Roman" w:eastAsia="Times New Roman" w:hAnsi="Times New Roman" w:cs="Times New Roman"/>
        </w:rPr>
        <w:t xml:space="preserve"> </w:t>
      </w:r>
    </w:p>
    <w:p w14:paraId="0E90F646" w14:textId="14E2088F" w:rsidR="003D3E2A" w:rsidRPr="00AD3486" w:rsidRDefault="003D3E2A" w:rsidP="003D3E2A">
      <w:pPr>
        <w:pStyle w:val="NoSpacing"/>
        <w:spacing w:line="480" w:lineRule="auto"/>
        <w:ind w:firstLine="720"/>
        <w:rPr>
          <w:rFonts w:ascii="Times New Roman" w:hAnsi="Times New Roman" w:cs="Times New Roman"/>
          <w:color w:val="353535"/>
          <w:lang w:val="en-US"/>
        </w:rPr>
      </w:pPr>
      <w:r w:rsidRPr="00AD3486">
        <w:rPr>
          <w:rFonts w:ascii="Times New Roman" w:hAnsi="Times New Roman" w:cs="Times New Roman"/>
          <w:color w:val="353535"/>
          <w:lang w:val="en-US"/>
        </w:rPr>
        <w:t>Broadside</w:t>
      </w:r>
      <w:r>
        <w:rPr>
          <w:rFonts w:ascii="Times New Roman" w:hAnsi="Times New Roman" w:cs="Times New Roman"/>
          <w:color w:val="353535"/>
          <w:lang w:val="en-US"/>
        </w:rPr>
        <w:t>s</w:t>
      </w:r>
      <w:r w:rsidRPr="00AD3486">
        <w:rPr>
          <w:rFonts w:ascii="Times New Roman" w:hAnsi="Times New Roman" w:cs="Times New Roman"/>
          <w:color w:val="353535"/>
          <w:lang w:val="en-US"/>
        </w:rPr>
        <w:t xml:space="preserve"> were a Victorian form of crime entertainment. The broadsides were cheap and widely available to all social classes. They were widely popular until the mid 1860s. They were the first publication to feature illustrations. Broadsides were hugely popular when they featured stories of murder and sensation, trial and execution. The story would be glamorized and described vividly, peakin</w:t>
      </w:r>
      <w:r>
        <w:rPr>
          <w:rFonts w:ascii="Times New Roman" w:hAnsi="Times New Roman" w:cs="Times New Roman"/>
          <w:color w:val="353535"/>
          <w:lang w:val="en-US"/>
        </w:rPr>
        <w:t>g the interest of the readers.</w:t>
      </w:r>
      <w:r w:rsidR="007709D3">
        <w:rPr>
          <w:rStyle w:val="FootnoteReference"/>
          <w:rFonts w:ascii="Times New Roman" w:hAnsi="Times New Roman" w:cs="Times New Roman"/>
          <w:color w:val="353535"/>
          <w:lang w:val="en-US"/>
        </w:rPr>
        <w:footnoteReference w:id="48"/>
      </w:r>
      <w:r w:rsidRPr="00AD3486">
        <w:rPr>
          <w:rFonts w:ascii="Times New Roman" w:hAnsi="Times New Roman" w:cs="Times New Roman"/>
          <w:color w:val="353535"/>
          <w:lang w:val="en-US"/>
        </w:rPr>
        <w:t xml:space="preserve"> The murder of Marten lead to such public interest that it ended in the sale of 1,166,000 broadsides (although this number</w:t>
      </w:r>
      <w:r w:rsidR="00352516">
        <w:rPr>
          <w:rFonts w:ascii="Times New Roman" w:hAnsi="Times New Roman" w:cs="Times New Roman"/>
          <w:color w:val="353535"/>
          <w:lang w:val="en-US"/>
        </w:rPr>
        <w:t xml:space="preserve"> should be taken with caution).</w:t>
      </w:r>
      <w:r w:rsidR="00352516">
        <w:rPr>
          <w:rStyle w:val="FootnoteReference"/>
          <w:rFonts w:ascii="Times New Roman" w:hAnsi="Times New Roman" w:cs="Times New Roman"/>
          <w:color w:val="353535"/>
          <w:lang w:val="en-US"/>
        </w:rPr>
        <w:footnoteReference w:id="49"/>
      </w:r>
    </w:p>
    <w:p w14:paraId="6A44A395" w14:textId="6FD849E0" w:rsidR="003D3E2A" w:rsidRPr="00AD3486" w:rsidRDefault="003D3E2A" w:rsidP="003D3E2A">
      <w:pPr>
        <w:pStyle w:val="NoSpacing"/>
        <w:spacing w:line="480" w:lineRule="auto"/>
        <w:ind w:firstLine="720"/>
        <w:rPr>
          <w:rFonts w:ascii="Times New Roman" w:eastAsia="Times New Roman" w:hAnsi="Times New Roman" w:cs="Times New Roman"/>
        </w:rPr>
      </w:pPr>
      <w:r w:rsidRPr="00AD3486">
        <w:rPr>
          <w:rFonts w:ascii="Times New Roman" w:eastAsia="Times New Roman" w:hAnsi="Times New Roman" w:cs="Times New Roman"/>
        </w:rPr>
        <w:t>Maria’s beauty was accentuated in almost a</w:t>
      </w:r>
      <w:r w:rsidR="00BB7594">
        <w:rPr>
          <w:rFonts w:ascii="Times New Roman" w:eastAsia="Times New Roman" w:hAnsi="Times New Roman" w:cs="Times New Roman"/>
        </w:rPr>
        <w:t xml:space="preserve">ll media accounts, almost as though </w:t>
      </w:r>
      <w:r w:rsidRPr="00AD3486">
        <w:rPr>
          <w:rFonts w:ascii="Times New Roman" w:eastAsia="Times New Roman" w:hAnsi="Times New Roman" w:cs="Times New Roman"/>
        </w:rPr>
        <w:t xml:space="preserve">to make the severity of the crime even graver. She was depicted as the innocent, attractive heroine, casting </w:t>
      </w:r>
      <w:proofErr w:type="spellStart"/>
      <w:r w:rsidRPr="00AD3486">
        <w:rPr>
          <w:rFonts w:ascii="Times New Roman" w:eastAsia="Times New Roman" w:hAnsi="Times New Roman" w:cs="Times New Roman"/>
        </w:rPr>
        <w:t>Corder</w:t>
      </w:r>
      <w:proofErr w:type="spellEnd"/>
      <w:r w:rsidRPr="00AD3486">
        <w:rPr>
          <w:rFonts w:ascii="Times New Roman" w:eastAsia="Times New Roman" w:hAnsi="Times New Roman" w:cs="Times New Roman"/>
        </w:rPr>
        <w:t xml:space="preserve"> in an even deeper shade of inhumanity. The Times deemed her “a pretty face and fine form and figure”, as well as describing </w:t>
      </w:r>
      <w:proofErr w:type="spellStart"/>
      <w:r w:rsidRPr="00AD3486">
        <w:rPr>
          <w:rFonts w:ascii="Times New Roman" w:eastAsia="Times New Roman" w:hAnsi="Times New Roman" w:cs="Times New Roman"/>
        </w:rPr>
        <w:t>Corder</w:t>
      </w:r>
      <w:proofErr w:type="spellEnd"/>
      <w:r w:rsidRPr="00AD3486">
        <w:rPr>
          <w:rFonts w:ascii="Times New Roman" w:eastAsia="Times New Roman" w:hAnsi="Times New Roman" w:cs="Times New Roman"/>
        </w:rPr>
        <w:t xml:space="preserve"> as “so unfeeling and wretched at heart” and calling </w:t>
      </w:r>
      <w:r w:rsidR="00FD06B7">
        <w:rPr>
          <w:rFonts w:ascii="Times New Roman" w:eastAsia="Times New Roman" w:hAnsi="Times New Roman" w:cs="Times New Roman"/>
        </w:rPr>
        <w:t>him a “monster” multiple times</w:t>
      </w:r>
      <w:r w:rsidRPr="00AD3486">
        <w:rPr>
          <w:rFonts w:ascii="Times New Roman" w:eastAsia="Times New Roman" w:hAnsi="Times New Roman" w:cs="Times New Roman"/>
        </w:rPr>
        <w:t>.</w:t>
      </w:r>
      <w:r w:rsidR="00FD06B7">
        <w:rPr>
          <w:rStyle w:val="FootnoteReference"/>
          <w:rFonts w:ascii="Times New Roman" w:eastAsia="Times New Roman" w:hAnsi="Times New Roman" w:cs="Times New Roman"/>
        </w:rPr>
        <w:footnoteReference w:id="50"/>
      </w:r>
      <w:r w:rsidR="00210E5E">
        <w:rPr>
          <w:rFonts w:ascii="Times New Roman" w:eastAsia="Times New Roman" w:hAnsi="Times New Roman" w:cs="Times New Roman"/>
        </w:rPr>
        <w:t xml:space="preserve"> For a generally </w:t>
      </w:r>
      <w:r w:rsidR="00A253E9">
        <w:rPr>
          <w:rFonts w:ascii="Times New Roman" w:eastAsia="Times New Roman" w:hAnsi="Times New Roman" w:cs="Times New Roman"/>
        </w:rPr>
        <w:t>conservative</w:t>
      </w:r>
      <w:r w:rsidR="00210E5E">
        <w:rPr>
          <w:rFonts w:ascii="Times New Roman" w:eastAsia="Times New Roman" w:hAnsi="Times New Roman" w:cs="Times New Roman"/>
        </w:rPr>
        <w:t xml:space="preserve"> pape</w:t>
      </w:r>
      <w:r w:rsidR="00A253E9">
        <w:rPr>
          <w:rFonts w:ascii="Times New Roman" w:eastAsia="Times New Roman" w:hAnsi="Times New Roman" w:cs="Times New Roman"/>
        </w:rPr>
        <w:t>r, these were bold accusations, and these words wo</w:t>
      </w:r>
      <w:r w:rsidR="00414AAD">
        <w:rPr>
          <w:rFonts w:ascii="Times New Roman" w:eastAsia="Times New Roman" w:hAnsi="Times New Roman" w:cs="Times New Roman"/>
        </w:rPr>
        <w:t>uld have been ingested eagerly by</w:t>
      </w:r>
      <w:r w:rsidR="008F0498">
        <w:rPr>
          <w:rFonts w:ascii="Times New Roman" w:eastAsia="Times New Roman" w:hAnsi="Times New Roman" w:cs="Times New Roman"/>
        </w:rPr>
        <w:t xml:space="preserve"> </w:t>
      </w:r>
      <w:r w:rsidR="00A253E9">
        <w:rPr>
          <w:rFonts w:ascii="Times New Roman" w:eastAsia="Times New Roman" w:hAnsi="Times New Roman" w:cs="Times New Roman"/>
        </w:rPr>
        <w:t>Victorians.</w:t>
      </w:r>
    </w:p>
    <w:p w14:paraId="66448842" w14:textId="60BEEA98" w:rsidR="003D3E2A" w:rsidRPr="00AD3486" w:rsidRDefault="003D3E2A" w:rsidP="003D3E2A">
      <w:pPr>
        <w:pStyle w:val="NoSpacing"/>
        <w:spacing w:line="480" w:lineRule="auto"/>
        <w:ind w:firstLine="720"/>
        <w:rPr>
          <w:rFonts w:ascii="Times New Roman" w:hAnsi="Times New Roman" w:cs="Times New Roman"/>
        </w:rPr>
      </w:pPr>
      <w:r w:rsidRPr="00AD3486">
        <w:rPr>
          <w:rFonts w:ascii="Times New Roman" w:hAnsi="Times New Roman" w:cs="Times New Roman"/>
        </w:rPr>
        <w:t xml:space="preserve">To add to the sensation in the media, the stepmother of Marten, Ann Marten purportedly had reoccurring dreams of Maria being murdered in the Red Barn. </w:t>
      </w:r>
      <w:r w:rsidR="00C029B4">
        <w:rPr>
          <w:rFonts w:ascii="Times New Roman" w:hAnsi="Times New Roman" w:cs="Times New Roman"/>
        </w:rPr>
        <w:t>She brought these</w:t>
      </w:r>
      <w:r w:rsidRPr="00AD3486">
        <w:rPr>
          <w:rFonts w:ascii="Times New Roman" w:hAnsi="Times New Roman" w:cs="Times New Roman"/>
        </w:rPr>
        <w:t xml:space="preserve"> dreams to her husband, which </w:t>
      </w:r>
      <w:r w:rsidR="00885373" w:rsidRPr="00AD3486">
        <w:rPr>
          <w:rFonts w:ascii="Times New Roman" w:hAnsi="Times New Roman" w:cs="Times New Roman"/>
        </w:rPr>
        <w:t>led</w:t>
      </w:r>
      <w:r w:rsidRPr="00AD3486">
        <w:rPr>
          <w:rFonts w:ascii="Times New Roman" w:hAnsi="Times New Roman" w:cs="Times New Roman"/>
        </w:rPr>
        <w:t xml:space="preserve"> them to search the Red Barn and find the</w:t>
      </w:r>
      <w:r w:rsidR="00885373">
        <w:rPr>
          <w:rFonts w:ascii="Times New Roman" w:hAnsi="Times New Roman" w:cs="Times New Roman"/>
        </w:rPr>
        <w:t xml:space="preserve"> decomposing body</w:t>
      </w:r>
      <w:r w:rsidRPr="00AD3486">
        <w:rPr>
          <w:rFonts w:ascii="Times New Roman" w:hAnsi="Times New Roman" w:cs="Times New Roman"/>
        </w:rPr>
        <w:t>.</w:t>
      </w:r>
      <w:r w:rsidR="00885373">
        <w:rPr>
          <w:rStyle w:val="FootnoteReference"/>
          <w:rFonts w:ascii="Times New Roman" w:hAnsi="Times New Roman" w:cs="Times New Roman"/>
        </w:rPr>
        <w:footnoteReference w:id="51"/>
      </w:r>
      <w:r w:rsidRPr="00AD3486">
        <w:rPr>
          <w:rFonts w:ascii="Times New Roman" w:hAnsi="Times New Roman" w:cs="Times New Roman"/>
        </w:rPr>
        <w:t xml:space="preserve"> This news was distributed in all types of newsprint and mentioned unquestioningly, blurring lines between fact and fiction and fuelling the fire of sensation for the Red Barn Murder.</w:t>
      </w:r>
    </w:p>
    <w:p w14:paraId="6110AE97" w14:textId="1C446B43" w:rsidR="0037346A" w:rsidRPr="00E45F7E" w:rsidRDefault="00FE7F3C" w:rsidP="00E45F7E">
      <w:pPr>
        <w:spacing w:line="480" w:lineRule="auto"/>
        <w:ind w:firstLine="720"/>
        <w:rPr>
          <w:rFonts w:ascii="Times New Roman" w:hAnsi="Times New Roman" w:cs="Times New Roman"/>
        </w:rPr>
      </w:pPr>
      <w:r>
        <w:rPr>
          <w:rFonts w:ascii="Times New Roman" w:hAnsi="Times New Roman" w:cs="Times New Roman"/>
        </w:rPr>
        <w:t>To</w:t>
      </w:r>
      <w:r w:rsidR="0037346A" w:rsidRPr="00411AD7">
        <w:rPr>
          <w:rFonts w:ascii="Times New Roman" w:hAnsi="Times New Roman" w:cs="Times New Roman"/>
        </w:rPr>
        <w:t xml:space="preserve"> date, the village of </w:t>
      </w:r>
      <w:proofErr w:type="spellStart"/>
      <w:r w:rsidR="0037346A" w:rsidRPr="00411AD7">
        <w:rPr>
          <w:rFonts w:ascii="Times New Roman" w:hAnsi="Times New Roman" w:cs="Times New Roman"/>
        </w:rPr>
        <w:t>Polstead</w:t>
      </w:r>
      <w:proofErr w:type="spellEnd"/>
      <w:r w:rsidR="0037346A" w:rsidRPr="00411AD7">
        <w:rPr>
          <w:rFonts w:ascii="Times New Roman" w:hAnsi="Times New Roman" w:cs="Times New Roman"/>
        </w:rPr>
        <w:t xml:space="preserve"> is still haun</w:t>
      </w:r>
      <w:r w:rsidR="00E45F7E">
        <w:rPr>
          <w:rFonts w:ascii="Times New Roman" w:hAnsi="Times New Roman" w:cs="Times New Roman"/>
        </w:rPr>
        <w:t>ted by the grisly murder in 1827</w:t>
      </w:r>
      <w:r w:rsidR="0037346A" w:rsidRPr="00411AD7">
        <w:rPr>
          <w:rFonts w:ascii="Times New Roman" w:hAnsi="Times New Roman" w:cs="Times New Roman"/>
        </w:rPr>
        <w:t xml:space="preserve">. The legend lives on, as does William </w:t>
      </w:r>
      <w:proofErr w:type="spellStart"/>
      <w:r w:rsidR="0037346A" w:rsidRPr="00411AD7">
        <w:rPr>
          <w:rFonts w:ascii="Times New Roman" w:hAnsi="Times New Roman" w:cs="Times New Roman"/>
        </w:rPr>
        <w:t>Corder</w:t>
      </w:r>
      <w:proofErr w:type="spellEnd"/>
      <w:r w:rsidR="0037346A" w:rsidRPr="00411AD7">
        <w:rPr>
          <w:rFonts w:ascii="Times New Roman" w:hAnsi="Times New Roman" w:cs="Times New Roman"/>
        </w:rPr>
        <w:t xml:space="preserve"> in an eerie and haunting kind of immortality.</w:t>
      </w:r>
      <w:r w:rsidR="00E45F7E">
        <w:rPr>
          <w:rFonts w:ascii="Times New Roman" w:hAnsi="Times New Roman" w:cs="Times New Roman"/>
        </w:rPr>
        <w:t xml:space="preserve"> </w:t>
      </w:r>
      <w:proofErr w:type="spellStart"/>
      <w:r w:rsidR="00E45F7E">
        <w:rPr>
          <w:rFonts w:ascii="Times New Roman" w:hAnsi="Times New Roman" w:cs="Times New Roman"/>
        </w:rPr>
        <w:t>Corder’s</w:t>
      </w:r>
      <w:proofErr w:type="spellEnd"/>
      <w:r w:rsidR="00E45F7E">
        <w:rPr>
          <w:rFonts w:ascii="Times New Roman" w:hAnsi="Times New Roman" w:cs="Times New Roman"/>
        </w:rPr>
        <w:t xml:space="preserve"> lingering memory serves as a kind of macabre totem of the principles by which justice is served. </w:t>
      </w:r>
      <w:r>
        <w:rPr>
          <w:rFonts w:ascii="Times New Roman" w:eastAsia="Times New Roman" w:hAnsi="Times New Roman" w:cs="Times New Roman"/>
        </w:rPr>
        <w:t xml:space="preserve">The Red Barn was appointed a guard not long after the execution of </w:t>
      </w:r>
      <w:proofErr w:type="spellStart"/>
      <w:proofErr w:type="gramStart"/>
      <w:r>
        <w:rPr>
          <w:rFonts w:ascii="Times New Roman" w:eastAsia="Times New Roman" w:hAnsi="Times New Roman" w:cs="Times New Roman"/>
        </w:rPr>
        <w:t>Corder</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as it had been stripped almost clean by numerous souvenir hunters and dark tourists</w:t>
      </w:r>
      <w:r>
        <w:rPr>
          <w:rFonts w:ascii="Times New Roman" w:hAnsi="Times New Roman" w:cs="Times New Roman"/>
          <w:color w:val="353535"/>
          <w:lang w:val="en-US"/>
        </w:rPr>
        <w:t>.</w:t>
      </w:r>
      <w:r w:rsidR="009B0B12">
        <w:rPr>
          <w:rStyle w:val="FootnoteReference"/>
          <w:rFonts w:ascii="Times New Roman" w:hAnsi="Times New Roman" w:cs="Times New Roman"/>
          <w:color w:val="353535"/>
          <w:lang w:val="en-US"/>
        </w:rPr>
        <w:footnoteReference w:id="52"/>
      </w:r>
    </w:p>
    <w:p w14:paraId="16505056" w14:textId="71746288" w:rsidR="0037346A" w:rsidRPr="00456995" w:rsidRDefault="0037346A" w:rsidP="00591D00">
      <w:pPr>
        <w:spacing w:line="480" w:lineRule="auto"/>
        <w:ind w:firstLine="720"/>
        <w:rPr>
          <w:rFonts w:ascii="Times New Roman" w:eastAsia="Times New Roman" w:hAnsi="Times New Roman" w:cs="Times New Roman"/>
        </w:rPr>
      </w:pPr>
      <w:r w:rsidRPr="00411AD7">
        <w:rPr>
          <w:rFonts w:ascii="Times New Roman" w:eastAsia="Times New Roman" w:hAnsi="Times New Roman" w:cs="Times New Roman"/>
        </w:rPr>
        <w:t>Vict</w:t>
      </w:r>
      <w:r w:rsidR="00C029B4">
        <w:rPr>
          <w:rFonts w:ascii="Times New Roman" w:eastAsia="Times New Roman" w:hAnsi="Times New Roman" w:cs="Times New Roman"/>
        </w:rPr>
        <w:t xml:space="preserve">orians craved the drama and </w:t>
      </w:r>
      <w:r w:rsidRPr="00411AD7">
        <w:rPr>
          <w:rFonts w:ascii="Times New Roman" w:eastAsia="Times New Roman" w:hAnsi="Times New Roman" w:cs="Times New Roman"/>
        </w:rPr>
        <w:t xml:space="preserve">sensation of crime stories, and murder was the most popular of those crimes. </w:t>
      </w:r>
      <w:r w:rsidR="00FE7F3C">
        <w:rPr>
          <w:rFonts w:ascii="Times New Roman" w:eastAsia="Times New Roman" w:hAnsi="Times New Roman" w:cs="Times New Roman"/>
        </w:rPr>
        <w:t xml:space="preserve">The murder of Maria Marten by William </w:t>
      </w:r>
      <w:proofErr w:type="spellStart"/>
      <w:r w:rsidR="00FE7F3C">
        <w:rPr>
          <w:rFonts w:ascii="Times New Roman" w:eastAsia="Times New Roman" w:hAnsi="Times New Roman" w:cs="Times New Roman"/>
        </w:rPr>
        <w:t>Corder</w:t>
      </w:r>
      <w:proofErr w:type="spellEnd"/>
      <w:r w:rsidR="00FE7F3C">
        <w:rPr>
          <w:rFonts w:ascii="Times New Roman" w:eastAsia="Times New Roman" w:hAnsi="Times New Roman" w:cs="Times New Roman"/>
        </w:rPr>
        <w:t xml:space="preserve"> served this role well, as its sensational trial and execution scene fit the bill o</w:t>
      </w:r>
      <w:bookmarkStart w:id="0" w:name="_GoBack"/>
      <w:bookmarkEnd w:id="0"/>
      <w:r w:rsidR="00FE7F3C">
        <w:rPr>
          <w:rFonts w:ascii="Times New Roman" w:eastAsia="Times New Roman" w:hAnsi="Times New Roman" w:cs="Times New Roman"/>
        </w:rPr>
        <w:t>f the sensational Victorian crime story. It had additional elements that added to the sensation</w:t>
      </w:r>
      <w:r w:rsidR="0055454E">
        <w:rPr>
          <w:rFonts w:ascii="Times New Roman" w:eastAsia="Times New Roman" w:hAnsi="Times New Roman" w:cs="Times New Roman"/>
        </w:rPr>
        <w:t>, including an illegitimate</w:t>
      </w:r>
      <w:r w:rsidR="00FE7F3C">
        <w:rPr>
          <w:rFonts w:ascii="Times New Roman" w:eastAsia="Times New Roman" w:hAnsi="Times New Roman" w:cs="Times New Roman"/>
        </w:rPr>
        <w:t xml:space="preserve"> child, the </w:t>
      </w:r>
      <w:r w:rsidR="00377F5C">
        <w:rPr>
          <w:rFonts w:ascii="Times New Roman" w:eastAsia="Times New Roman" w:hAnsi="Times New Roman" w:cs="Times New Roman"/>
        </w:rPr>
        <w:t xml:space="preserve">element of domestic unrest and the </w:t>
      </w:r>
      <w:r w:rsidR="00E45F7E">
        <w:rPr>
          <w:rFonts w:ascii="Times New Roman" w:eastAsia="Times New Roman" w:hAnsi="Times New Roman" w:cs="Times New Roman"/>
        </w:rPr>
        <w:t>paranormal piece that was Maria’s stepmother supposedly “dreaming” of the murder. There can be little question as to why Marten’s murder became such a spectacle and why its story became the catalyst for plays, ballads, paintings, pottery and even a movie released in 1936.</w:t>
      </w:r>
      <w:r w:rsidR="007A3482">
        <w:rPr>
          <w:rFonts w:ascii="Times New Roman" w:eastAsia="Times New Roman" w:hAnsi="Times New Roman" w:cs="Times New Roman"/>
        </w:rPr>
        <w:t xml:space="preserve"> </w:t>
      </w:r>
      <w:r w:rsidR="00087BC7">
        <w:rPr>
          <w:rFonts w:ascii="Times New Roman" w:eastAsia="Times New Roman" w:hAnsi="Times New Roman" w:cs="Times New Roman"/>
        </w:rPr>
        <w:t>Its</w:t>
      </w:r>
      <w:r w:rsidR="007A3482">
        <w:rPr>
          <w:rFonts w:ascii="Times New Roman" w:eastAsia="Times New Roman" w:hAnsi="Times New Roman" w:cs="Times New Roman"/>
        </w:rPr>
        <w:t xml:space="preserve"> impact on the Victorian people extends to modern day, and continues to fas</w:t>
      </w:r>
      <w:r w:rsidR="00087BC7">
        <w:rPr>
          <w:rFonts w:ascii="Times New Roman" w:eastAsia="Times New Roman" w:hAnsi="Times New Roman" w:cs="Times New Roman"/>
        </w:rPr>
        <w:t xml:space="preserve">cinate scholars and historians as a seemingly simple, yet impactful murder that ended the life of one poor girl who’s memory </w:t>
      </w:r>
      <w:r w:rsidR="009E44A0">
        <w:rPr>
          <w:rFonts w:ascii="Times New Roman" w:eastAsia="Times New Roman" w:hAnsi="Times New Roman" w:cs="Times New Roman"/>
        </w:rPr>
        <w:t>is sure to live on.</w:t>
      </w:r>
    </w:p>
    <w:p w14:paraId="327AA3FF" w14:textId="77777777" w:rsidR="00A02D5B" w:rsidRDefault="00A02D5B" w:rsidP="00B7746F">
      <w:pPr>
        <w:spacing w:line="480" w:lineRule="auto"/>
        <w:rPr>
          <w:rFonts w:ascii="Times New Roman" w:hAnsi="Times New Roman" w:cs="Times New Roman"/>
        </w:rPr>
      </w:pPr>
    </w:p>
    <w:p w14:paraId="513F2B45" w14:textId="77777777" w:rsidR="00553556" w:rsidRDefault="00553556" w:rsidP="00B7746F">
      <w:pPr>
        <w:spacing w:line="480" w:lineRule="auto"/>
        <w:rPr>
          <w:rFonts w:ascii="Times New Roman" w:hAnsi="Times New Roman" w:cs="Times New Roman"/>
        </w:rPr>
      </w:pPr>
    </w:p>
    <w:p w14:paraId="1C8EE884" w14:textId="77777777" w:rsidR="000C1806" w:rsidRDefault="000C1806" w:rsidP="00B7746F">
      <w:pPr>
        <w:spacing w:line="480" w:lineRule="auto"/>
        <w:rPr>
          <w:rFonts w:ascii="Times New Roman" w:hAnsi="Times New Roman" w:cs="Times New Roman"/>
        </w:rPr>
      </w:pPr>
    </w:p>
    <w:p w14:paraId="317ABF29" w14:textId="77777777" w:rsidR="000C1806" w:rsidRDefault="000C1806" w:rsidP="00B7746F">
      <w:pPr>
        <w:spacing w:line="480" w:lineRule="auto"/>
        <w:rPr>
          <w:rFonts w:ascii="Times New Roman" w:hAnsi="Times New Roman" w:cs="Times New Roman"/>
        </w:rPr>
      </w:pPr>
    </w:p>
    <w:p w14:paraId="4D044C01" w14:textId="77777777" w:rsidR="000C1806" w:rsidRDefault="000C1806" w:rsidP="00B7746F">
      <w:pPr>
        <w:spacing w:line="480" w:lineRule="auto"/>
        <w:rPr>
          <w:rFonts w:ascii="Times New Roman" w:hAnsi="Times New Roman" w:cs="Times New Roman"/>
        </w:rPr>
      </w:pPr>
    </w:p>
    <w:p w14:paraId="38E4A079" w14:textId="77777777" w:rsidR="000C1806" w:rsidRDefault="000C1806" w:rsidP="00B7746F">
      <w:pPr>
        <w:spacing w:line="480" w:lineRule="auto"/>
        <w:rPr>
          <w:rFonts w:ascii="Times New Roman" w:hAnsi="Times New Roman" w:cs="Times New Roman"/>
        </w:rPr>
      </w:pPr>
    </w:p>
    <w:p w14:paraId="35ED2131" w14:textId="77777777" w:rsidR="000C1806" w:rsidRDefault="000C1806" w:rsidP="00B7746F">
      <w:pPr>
        <w:spacing w:line="480" w:lineRule="auto"/>
        <w:rPr>
          <w:rFonts w:ascii="Times New Roman" w:hAnsi="Times New Roman" w:cs="Times New Roman"/>
        </w:rPr>
      </w:pPr>
    </w:p>
    <w:p w14:paraId="5ADD7404" w14:textId="77777777" w:rsidR="00E71E5B" w:rsidRDefault="00E71E5B" w:rsidP="005451AA">
      <w:pPr>
        <w:spacing w:line="480" w:lineRule="auto"/>
        <w:rPr>
          <w:rFonts w:ascii="Times New Roman" w:hAnsi="Times New Roman" w:cs="Times New Roman"/>
        </w:rPr>
      </w:pPr>
    </w:p>
    <w:p w14:paraId="476DA3B1" w14:textId="77777777" w:rsidR="005451AA" w:rsidRDefault="005451AA" w:rsidP="005451AA">
      <w:pPr>
        <w:spacing w:line="480" w:lineRule="auto"/>
      </w:pPr>
    </w:p>
    <w:p w14:paraId="026BE1AA" w14:textId="77777777" w:rsidR="00525566" w:rsidRDefault="00525566" w:rsidP="00A3144D">
      <w:pPr>
        <w:spacing w:line="480" w:lineRule="auto"/>
        <w:jc w:val="center"/>
      </w:pPr>
    </w:p>
    <w:p w14:paraId="7FBCDE77" w14:textId="77777777" w:rsidR="00525566" w:rsidRDefault="00525566" w:rsidP="00A3144D">
      <w:pPr>
        <w:spacing w:line="480" w:lineRule="auto"/>
        <w:jc w:val="center"/>
      </w:pPr>
    </w:p>
    <w:p w14:paraId="0BAF85C7" w14:textId="77777777" w:rsidR="00525566" w:rsidRDefault="00525566" w:rsidP="00A3144D">
      <w:pPr>
        <w:spacing w:line="480" w:lineRule="auto"/>
        <w:jc w:val="center"/>
      </w:pPr>
    </w:p>
    <w:p w14:paraId="6BD3AE4D" w14:textId="77777777" w:rsidR="00DB04A9" w:rsidRDefault="00DB04A9" w:rsidP="00DB04A9">
      <w:pPr>
        <w:spacing w:line="480" w:lineRule="auto"/>
      </w:pPr>
    </w:p>
    <w:p w14:paraId="77B35220" w14:textId="7954A44E" w:rsidR="000C1806" w:rsidRDefault="000C1806" w:rsidP="00DB04A9">
      <w:pPr>
        <w:spacing w:line="480" w:lineRule="auto"/>
        <w:jc w:val="center"/>
      </w:pPr>
      <w:r>
        <w:t>Bibliography</w:t>
      </w:r>
    </w:p>
    <w:p w14:paraId="3F303361" w14:textId="77777777" w:rsidR="00A3144D" w:rsidRDefault="00A3144D" w:rsidP="00A3144D">
      <w:pPr>
        <w:spacing w:line="480" w:lineRule="auto"/>
        <w:jc w:val="center"/>
      </w:pPr>
    </w:p>
    <w:p w14:paraId="542D920B" w14:textId="77777777" w:rsidR="005451AA" w:rsidRDefault="000C1806" w:rsidP="005451AA">
      <w:pPr>
        <w:spacing w:line="480" w:lineRule="auto"/>
        <w:rPr>
          <w:i/>
        </w:rPr>
      </w:pPr>
      <w:r w:rsidRPr="002F7459">
        <w:rPr>
          <w:i/>
        </w:rPr>
        <w:t xml:space="preserve">An Accurate Account of the Trial of William </w:t>
      </w:r>
      <w:proofErr w:type="spellStart"/>
      <w:r w:rsidRPr="002F7459">
        <w:rPr>
          <w:i/>
        </w:rPr>
        <w:t>Corder</w:t>
      </w:r>
      <w:proofErr w:type="spellEnd"/>
      <w:r w:rsidRPr="002F7459">
        <w:rPr>
          <w:i/>
        </w:rPr>
        <w:t xml:space="preserve"> for the Murder of Maria Marten… etc. </w:t>
      </w:r>
    </w:p>
    <w:p w14:paraId="35628A4A" w14:textId="73489A8B" w:rsidR="000C1806" w:rsidRDefault="000C1806" w:rsidP="005451AA">
      <w:pPr>
        <w:spacing w:line="480" w:lineRule="auto"/>
        <w:ind w:firstLine="720"/>
      </w:pPr>
      <w:r>
        <w:t xml:space="preserve">London: George Foster, </w:t>
      </w:r>
      <w:proofErr w:type="spellStart"/>
      <w:r>
        <w:t>n.d.</w:t>
      </w:r>
      <w:proofErr w:type="spellEnd"/>
      <w:r>
        <w:t xml:space="preserve"> </w:t>
      </w:r>
    </w:p>
    <w:p w14:paraId="20600BAE" w14:textId="77777777" w:rsidR="000C1806" w:rsidRDefault="000C1806" w:rsidP="005451AA">
      <w:pPr>
        <w:spacing w:line="480" w:lineRule="auto"/>
      </w:pPr>
      <w:r>
        <w:t xml:space="preserve">“Bury St. Edmunds, Aug 4,” </w:t>
      </w:r>
      <w:r>
        <w:rPr>
          <w:i/>
        </w:rPr>
        <w:t>The</w:t>
      </w:r>
      <w:r w:rsidRPr="00772198">
        <w:rPr>
          <w:i/>
        </w:rPr>
        <w:t xml:space="preserve"> Times</w:t>
      </w:r>
      <w:r>
        <w:rPr>
          <w:i/>
        </w:rPr>
        <w:t xml:space="preserve">, </w:t>
      </w:r>
      <w:r>
        <w:t xml:space="preserve">August 6, 1828. </w:t>
      </w:r>
    </w:p>
    <w:p w14:paraId="1FACE10A" w14:textId="77777777" w:rsidR="000C1806" w:rsidRPr="00772198" w:rsidRDefault="000C1806" w:rsidP="005451AA">
      <w:pPr>
        <w:spacing w:line="480" w:lineRule="auto"/>
      </w:pPr>
      <w:r>
        <w:t xml:space="preserve">“Conduct, Confessions, and Execution of </w:t>
      </w:r>
      <w:proofErr w:type="spellStart"/>
      <w:r>
        <w:t>Corder</w:t>
      </w:r>
      <w:proofErr w:type="spellEnd"/>
      <w:r>
        <w:t xml:space="preserve">,” </w:t>
      </w:r>
      <w:r w:rsidRPr="00B6722C">
        <w:rPr>
          <w:i/>
        </w:rPr>
        <w:t>The Times</w:t>
      </w:r>
      <w:r>
        <w:t xml:space="preserve">, August 12, 1828. </w:t>
      </w:r>
    </w:p>
    <w:p w14:paraId="4525D9DE" w14:textId="77777777" w:rsidR="005451AA" w:rsidRDefault="005451AA" w:rsidP="005451AA">
      <w:pPr>
        <w:spacing w:line="480" w:lineRule="auto"/>
      </w:pPr>
      <w:r>
        <w:t>C</w:t>
      </w:r>
      <w:r w:rsidR="000C1806">
        <w:t xml:space="preserve">urtis, J. </w:t>
      </w:r>
      <w:proofErr w:type="gramStart"/>
      <w:r w:rsidR="000C1806" w:rsidRPr="009C664C">
        <w:rPr>
          <w:i/>
        </w:rPr>
        <w:t xml:space="preserve">An Authentic and Faithful History of the Mysterious Murder of </w:t>
      </w:r>
      <w:r w:rsidR="000C1806">
        <w:rPr>
          <w:i/>
        </w:rPr>
        <w:t>Maria Marten</w:t>
      </w:r>
      <w:r w:rsidR="000C1806" w:rsidRPr="009C664C">
        <w:rPr>
          <w:i/>
        </w:rPr>
        <w:t>... etc.</w:t>
      </w:r>
      <w:proofErr w:type="gramEnd"/>
      <w:r w:rsidR="000C1806">
        <w:t xml:space="preserve"> L</w:t>
      </w:r>
    </w:p>
    <w:p w14:paraId="4641F368" w14:textId="76915075" w:rsidR="000C1806" w:rsidRDefault="005451AA" w:rsidP="005451AA">
      <w:pPr>
        <w:spacing w:line="480" w:lineRule="auto"/>
        <w:ind w:firstLine="720"/>
      </w:pPr>
      <w:r>
        <w:t>L</w:t>
      </w:r>
      <w:r w:rsidR="000C1806">
        <w:t>ondon: Thomas Kelly, 1828.</w:t>
      </w:r>
    </w:p>
    <w:p w14:paraId="6B23AE27" w14:textId="77777777" w:rsidR="000C1806" w:rsidRDefault="000C1806" w:rsidP="005451AA">
      <w:pPr>
        <w:spacing w:line="480" w:lineRule="auto"/>
      </w:pPr>
      <w:proofErr w:type="spellStart"/>
      <w:r>
        <w:t>Danachair</w:t>
      </w:r>
      <w:proofErr w:type="spellEnd"/>
      <w:r>
        <w:t xml:space="preserve">, </w:t>
      </w:r>
      <w:proofErr w:type="spellStart"/>
      <w:r>
        <w:t>Donal</w:t>
      </w:r>
      <w:proofErr w:type="spellEnd"/>
      <w:r>
        <w:t xml:space="preserve"> Ó, </w:t>
      </w:r>
      <w:proofErr w:type="gramStart"/>
      <w:r>
        <w:t>eds</w:t>
      </w:r>
      <w:proofErr w:type="gramEnd"/>
      <w:r>
        <w:t xml:space="preserve">. </w:t>
      </w:r>
      <w:r w:rsidRPr="009F127B">
        <w:rPr>
          <w:i/>
        </w:rPr>
        <w:t>The Newgate Calendar, Volume 1</w:t>
      </w:r>
      <w:r>
        <w:t xml:space="preserve">. </w:t>
      </w:r>
      <w:proofErr w:type="gramStart"/>
      <w:r>
        <w:t>Ex-classics Project, 2009.</w:t>
      </w:r>
      <w:proofErr w:type="gramEnd"/>
    </w:p>
    <w:p w14:paraId="12ADB3FC" w14:textId="77777777" w:rsidR="005451AA" w:rsidRDefault="000C1806" w:rsidP="005451AA">
      <w:pPr>
        <w:spacing w:line="480" w:lineRule="auto"/>
        <w:rPr>
          <w:rFonts w:ascii="Times New Roman" w:hAnsi="Times New Roman" w:cs="Times New Roman"/>
        </w:rPr>
      </w:pPr>
      <w:r w:rsidRPr="0094650D">
        <w:rPr>
          <w:rFonts w:ascii="Times New Roman" w:hAnsi="Times New Roman" w:cs="Times New Roman"/>
        </w:rPr>
        <w:t xml:space="preserve">Davidson, Diane M. “The bastardy controversy of nineteenth-century Britain.” PhD diss., Lehigh </w:t>
      </w:r>
    </w:p>
    <w:p w14:paraId="52DCF20C" w14:textId="2CDE7B07" w:rsidR="000C1806" w:rsidRPr="00A27F42" w:rsidRDefault="000C1806" w:rsidP="005451AA">
      <w:pPr>
        <w:spacing w:line="480" w:lineRule="auto"/>
        <w:ind w:firstLine="720"/>
        <w:rPr>
          <w:rFonts w:ascii="Times New Roman" w:hAnsi="Times New Roman" w:cs="Times New Roman"/>
        </w:rPr>
      </w:pPr>
      <w:proofErr w:type="gramStart"/>
      <w:r w:rsidRPr="0094650D">
        <w:rPr>
          <w:rFonts w:ascii="Times New Roman" w:hAnsi="Times New Roman" w:cs="Times New Roman"/>
        </w:rPr>
        <w:t>University, 1982.</w:t>
      </w:r>
      <w:proofErr w:type="gramEnd"/>
    </w:p>
    <w:p w14:paraId="6E228306" w14:textId="77777777" w:rsidR="005451AA" w:rsidRDefault="000C1806" w:rsidP="005451AA">
      <w:pPr>
        <w:spacing w:line="480" w:lineRule="auto"/>
      </w:pPr>
      <w:r>
        <w:t xml:space="preserve">Davis, Kingsley. “Illegitimacy and the Social Structure”. </w:t>
      </w:r>
      <w:r w:rsidRPr="001457DA">
        <w:rPr>
          <w:i/>
        </w:rPr>
        <w:t>American Journal of Sociology 45</w:t>
      </w:r>
      <w:r>
        <w:t xml:space="preserve"> </w:t>
      </w:r>
    </w:p>
    <w:p w14:paraId="013E9526" w14:textId="3D0961F5" w:rsidR="000C1806" w:rsidRDefault="000C1806" w:rsidP="005451AA">
      <w:pPr>
        <w:spacing w:line="480" w:lineRule="auto"/>
        <w:ind w:firstLine="720"/>
      </w:pPr>
      <w:r>
        <w:t>(1939): 215-233.</w:t>
      </w:r>
    </w:p>
    <w:p w14:paraId="2BFFD9AF" w14:textId="77777777" w:rsidR="005451AA" w:rsidRDefault="000C1806" w:rsidP="005451AA">
      <w:pPr>
        <w:spacing w:line="480" w:lineRule="auto"/>
      </w:pPr>
      <w:r>
        <w:t xml:space="preserve">Foucault, Michel. </w:t>
      </w:r>
      <w:r w:rsidRPr="003A3F38">
        <w:rPr>
          <w:i/>
        </w:rPr>
        <w:t>Discipline and Punish: The Birth of the Prison</w:t>
      </w:r>
      <w:r>
        <w:t xml:space="preserve">. Translated by Alan Sheridan. </w:t>
      </w:r>
    </w:p>
    <w:p w14:paraId="58EC7DAA" w14:textId="114ED4B6" w:rsidR="000C1806" w:rsidRDefault="000C1806" w:rsidP="005451AA">
      <w:pPr>
        <w:spacing w:line="480" w:lineRule="auto"/>
        <w:ind w:firstLine="720"/>
      </w:pPr>
      <w:r>
        <w:t xml:space="preserve">New York: Vintage, 1975. </w:t>
      </w:r>
    </w:p>
    <w:p w14:paraId="1842FE32" w14:textId="77777777" w:rsidR="005451AA" w:rsidRDefault="000C1806" w:rsidP="005451AA">
      <w:pPr>
        <w:spacing w:line="480" w:lineRule="auto"/>
      </w:pPr>
      <w:proofErr w:type="spellStart"/>
      <w:r>
        <w:t>Gatrell</w:t>
      </w:r>
      <w:proofErr w:type="spellEnd"/>
      <w:r>
        <w:t xml:space="preserve">, V. A. C., </w:t>
      </w:r>
      <w:r w:rsidRPr="00F056B8">
        <w:rPr>
          <w:i/>
        </w:rPr>
        <w:t>The Hanging Tree: Execution and the English People 1770-1868</w:t>
      </w:r>
      <w:r>
        <w:t xml:space="preserve">. New York: </w:t>
      </w:r>
    </w:p>
    <w:p w14:paraId="039DB8B5" w14:textId="5D1E80DB" w:rsidR="000C1806" w:rsidRDefault="000C1806" w:rsidP="005451AA">
      <w:pPr>
        <w:spacing w:line="480" w:lineRule="auto"/>
        <w:ind w:firstLine="720"/>
      </w:pPr>
      <w:proofErr w:type="gramStart"/>
      <w:r>
        <w:t>Oxford University Press, 1994.</w:t>
      </w:r>
      <w:proofErr w:type="gramEnd"/>
      <w:r>
        <w:t xml:space="preserve"> </w:t>
      </w:r>
    </w:p>
    <w:p w14:paraId="54C39D71" w14:textId="64457130" w:rsidR="000C1806" w:rsidRPr="0030368F" w:rsidRDefault="000C1806" w:rsidP="005451AA">
      <w:pPr>
        <w:pStyle w:val="NoSpacing"/>
        <w:spacing w:line="480" w:lineRule="auto"/>
        <w:rPr>
          <w:rFonts w:ascii="Times New Roman" w:hAnsi="Times New Roman" w:cs="Times New Roman"/>
        </w:rPr>
      </w:pPr>
      <w:proofErr w:type="spellStart"/>
      <w:r w:rsidRPr="0094650D">
        <w:rPr>
          <w:rFonts w:ascii="Times New Roman" w:hAnsi="Times New Roman" w:cs="Times New Roman"/>
        </w:rPr>
        <w:t>Huish</w:t>
      </w:r>
      <w:proofErr w:type="spellEnd"/>
      <w:r w:rsidRPr="0094650D">
        <w:rPr>
          <w:rFonts w:ascii="Times New Roman" w:hAnsi="Times New Roman" w:cs="Times New Roman"/>
        </w:rPr>
        <w:t xml:space="preserve">, Robert. </w:t>
      </w:r>
      <w:r w:rsidRPr="0094650D">
        <w:rPr>
          <w:rFonts w:ascii="Times New Roman" w:hAnsi="Times New Roman" w:cs="Times New Roman"/>
          <w:i/>
        </w:rPr>
        <w:t>The Red Barn: A Tale Founded on Fact</w:t>
      </w:r>
      <w:r w:rsidRPr="0094650D">
        <w:rPr>
          <w:rFonts w:ascii="Times New Roman" w:hAnsi="Times New Roman" w:cs="Times New Roman"/>
        </w:rPr>
        <w:t>. England: Knight and</w:t>
      </w:r>
      <w:r w:rsidR="005451AA">
        <w:rPr>
          <w:rFonts w:ascii="Times New Roman" w:hAnsi="Times New Roman" w:cs="Times New Roman"/>
        </w:rPr>
        <w:t xml:space="preserve"> </w:t>
      </w:r>
      <w:proofErr w:type="spellStart"/>
      <w:r w:rsidR="005451AA">
        <w:rPr>
          <w:rFonts w:ascii="Times New Roman" w:hAnsi="Times New Roman" w:cs="Times New Roman"/>
        </w:rPr>
        <w:t>Lacey</w:t>
      </w:r>
      <w:proofErr w:type="spellEnd"/>
      <w:r w:rsidR="005451AA">
        <w:rPr>
          <w:rFonts w:ascii="Times New Roman" w:hAnsi="Times New Roman" w:cs="Times New Roman"/>
        </w:rPr>
        <w:t xml:space="preserve">, </w:t>
      </w:r>
      <w:r w:rsidRPr="0094650D">
        <w:rPr>
          <w:rFonts w:ascii="Times New Roman" w:hAnsi="Times New Roman" w:cs="Times New Roman"/>
        </w:rPr>
        <w:t>1828.</w:t>
      </w:r>
    </w:p>
    <w:p w14:paraId="57143ABE" w14:textId="77777777" w:rsidR="005451AA" w:rsidRDefault="000C1806" w:rsidP="005451AA">
      <w:pPr>
        <w:spacing w:line="480" w:lineRule="auto"/>
        <w:rPr>
          <w:i/>
        </w:rPr>
      </w:pPr>
      <w:r>
        <w:t>Knapp, Andrew</w:t>
      </w:r>
      <w:proofErr w:type="gramStart"/>
      <w:r>
        <w:t>.,</w:t>
      </w:r>
      <w:proofErr w:type="gramEnd"/>
      <w:r>
        <w:t xml:space="preserve"> and William Baldwin, eds</w:t>
      </w:r>
      <w:r w:rsidRPr="008B1F42">
        <w:rPr>
          <w:i/>
        </w:rPr>
        <w:t xml:space="preserve">. The Newgate Calendar; Comprising Interesting </w:t>
      </w:r>
    </w:p>
    <w:p w14:paraId="6F7BDFE6" w14:textId="3E1E71FA" w:rsidR="000C1806" w:rsidRDefault="000C1806" w:rsidP="005451AA">
      <w:pPr>
        <w:spacing w:line="480" w:lineRule="auto"/>
        <w:ind w:left="720"/>
      </w:pPr>
      <w:proofErr w:type="gramStart"/>
      <w:r w:rsidRPr="008B1F42">
        <w:rPr>
          <w:i/>
        </w:rPr>
        <w:t>Memoirs of Most Notorious Characters who have been Convicted of Outrages on…Volume 1.</w:t>
      </w:r>
      <w:proofErr w:type="gramEnd"/>
      <w:r>
        <w:t xml:space="preserve"> London: J. Robins and Co., 1824. </w:t>
      </w:r>
    </w:p>
    <w:p w14:paraId="7A4DC55B" w14:textId="77777777" w:rsidR="005451AA" w:rsidRDefault="000C1806" w:rsidP="005451AA">
      <w:pPr>
        <w:spacing w:line="480" w:lineRule="auto"/>
      </w:pPr>
      <w:proofErr w:type="spellStart"/>
      <w:r>
        <w:t>Laqueur</w:t>
      </w:r>
      <w:proofErr w:type="spellEnd"/>
      <w:r>
        <w:t xml:space="preserve">, Thomas W. “Crowds, carnival and the state in English executions, 1604-1868.” In </w:t>
      </w:r>
    </w:p>
    <w:p w14:paraId="7E497150" w14:textId="14992EB8" w:rsidR="000C1806" w:rsidRDefault="000C1806" w:rsidP="005451AA">
      <w:pPr>
        <w:spacing w:line="480" w:lineRule="auto"/>
        <w:ind w:left="720"/>
      </w:pPr>
      <w:r>
        <w:rPr>
          <w:i/>
        </w:rPr>
        <w:t xml:space="preserve">The First modern society: essays in English history in honour of Lawrence Stone. </w:t>
      </w:r>
      <w:r>
        <w:t xml:space="preserve">Edited by A. L </w:t>
      </w:r>
      <w:proofErr w:type="spellStart"/>
      <w:r>
        <w:t>Beier</w:t>
      </w:r>
      <w:proofErr w:type="spellEnd"/>
      <w:r>
        <w:t xml:space="preserve">, David </w:t>
      </w:r>
      <w:proofErr w:type="spellStart"/>
      <w:r>
        <w:t>Cannadine</w:t>
      </w:r>
      <w:proofErr w:type="spellEnd"/>
      <w:r>
        <w:t>, and James M. Rosenheim. Cambridge: Cambridge University Press, 1989, 305-355.</w:t>
      </w:r>
    </w:p>
    <w:p w14:paraId="201CFD4C" w14:textId="77777777" w:rsidR="005451AA" w:rsidRDefault="000C1806" w:rsidP="005451AA">
      <w:pPr>
        <w:spacing w:line="480" w:lineRule="auto"/>
        <w:rPr>
          <w:i/>
        </w:rPr>
      </w:pPr>
      <w:r>
        <w:t xml:space="preserve">Macfarlane, Alan. “Illegitimacy and illegitimates in English history.” In </w:t>
      </w:r>
      <w:r>
        <w:rPr>
          <w:i/>
        </w:rPr>
        <w:t xml:space="preserve">Bastardy and its </w:t>
      </w:r>
    </w:p>
    <w:p w14:paraId="628D0684" w14:textId="132E0B54" w:rsidR="000C1806" w:rsidRPr="003B7334" w:rsidRDefault="000C1806" w:rsidP="005451AA">
      <w:pPr>
        <w:spacing w:line="480" w:lineRule="auto"/>
        <w:ind w:left="720"/>
      </w:pPr>
      <w:r>
        <w:rPr>
          <w:i/>
        </w:rPr>
        <w:t xml:space="preserve">Comparative History. </w:t>
      </w:r>
      <w:r>
        <w:t xml:space="preserve">Edited by Peter </w:t>
      </w:r>
      <w:proofErr w:type="spellStart"/>
      <w:r>
        <w:t>Laslett</w:t>
      </w:r>
      <w:proofErr w:type="spellEnd"/>
      <w:r>
        <w:t xml:space="preserve">, Karla </w:t>
      </w:r>
      <w:proofErr w:type="spellStart"/>
      <w:r>
        <w:t>Oosterveen</w:t>
      </w:r>
      <w:proofErr w:type="spellEnd"/>
      <w:r>
        <w:t xml:space="preserve"> and Richard M. Smith. London: Edward Arnold, 1980, 71-85.</w:t>
      </w:r>
    </w:p>
    <w:p w14:paraId="68754A43" w14:textId="77777777" w:rsidR="005451AA" w:rsidRDefault="000C1806" w:rsidP="005451AA">
      <w:pPr>
        <w:spacing w:line="480" w:lineRule="auto"/>
      </w:pPr>
      <w:r>
        <w:t>Maunder, Andrew</w:t>
      </w:r>
      <w:proofErr w:type="gramStart"/>
      <w:r>
        <w:t>.,</w:t>
      </w:r>
      <w:proofErr w:type="gramEnd"/>
      <w:r>
        <w:t xml:space="preserve"> and Grace Moore, eds., </w:t>
      </w:r>
      <w:r w:rsidRPr="001E0018">
        <w:rPr>
          <w:i/>
        </w:rPr>
        <w:t>Victorian Crime, Madness and Sensation.</w:t>
      </w:r>
      <w:r>
        <w:t xml:space="preserve"> </w:t>
      </w:r>
    </w:p>
    <w:p w14:paraId="573FEAEA" w14:textId="76AEE7BE" w:rsidR="000C1806" w:rsidRDefault="000C1806" w:rsidP="005451AA">
      <w:pPr>
        <w:spacing w:line="480" w:lineRule="auto"/>
        <w:ind w:firstLine="720"/>
      </w:pPr>
      <w:r>
        <w:t xml:space="preserve">Hampshire: Ashgate, 2004. </w:t>
      </w:r>
    </w:p>
    <w:p w14:paraId="2EFD6A72" w14:textId="77777777" w:rsidR="005451AA" w:rsidRDefault="000C1806" w:rsidP="005451AA">
      <w:pPr>
        <w:spacing w:line="480" w:lineRule="auto"/>
      </w:pPr>
      <w:proofErr w:type="spellStart"/>
      <w:r>
        <w:t>Neeleman</w:t>
      </w:r>
      <w:proofErr w:type="spellEnd"/>
      <w:r>
        <w:t xml:space="preserve">, J. “Suicide as a crime in the UK: legal history, international comparisons and </w:t>
      </w:r>
    </w:p>
    <w:p w14:paraId="4A24019A" w14:textId="4AE96C28" w:rsidR="000C1806" w:rsidRDefault="000C1806" w:rsidP="005451AA">
      <w:pPr>
        <w:spacing w:line="480" w:lineRule="auto"/>
        <w:ind w:firstLine="720"/>
      </w:pPr>
      <w:proofErr w:type="gramStart"/>
      <w:r>
        <w:t>present</w:t>
      </w:r>
      <w:proofErr w:type="gramEnd"/>
      <w:r>
        <w:t xml:space="preserve"> implication.” </w:t>
      </w:r>
      <w:r w:rsidRPr="002B01A1">
        <w:rPr>
          <w:i/>
        </w:rPr>
        <w:t>Acta Psychiatrica Scandinavica</w:t>
      </w:r>
      <w:r>
        <w:t xml:space="preserve"> (1996): 252-257. </w:t>
      </w:r>
    </w:p>
    <w:p w14:paraId="625E4EAE" w14:textId="77777777" w:rsidR="000C1806" w:rsidRDefault="000C1806" w:rsidP="005451AA">
      <w:pPr>
        <w:spacing w:line="480" w:lineRule="auto"/>
      </w:pPr>
      <w:r>
        <w:t xml:space="preserve">“The Murder at </w:t>
      </w:r>
      <w:proofErr w:type="spellStart"/>
      <w:r>
        <w:t>Polstead</w:t>
      </w:r>
      <w:proofErr w:type="spellEnd"/>
      <w:r>
        <w:t xml:space="preserve">,” </w:t>
      </w:r>
      <w:r>
        <w:rPr>
          <w:i/>
        </w:rPr>
        <w:t>The</w:t>
      </w:r>
      <w:r w:rsidRPr="001D2BEC">
        <w:rPr>
          <w:i/>
        </w:rPr>
        <w:t xml:space="preserve"> Times</w:t>
      </w:r>
      <w:r>
        <w:t xml:space="preserve">, May 1, 1828. </w:t>
      </w:r>
    </w:p>
    <w:p w14:paraId="77E72514" w14:textId="77777777" w:rsidR="005451AA" w:rsidRDefault="000C1806" w:rsidP="005451AA">
      <w:pPr>
        <w:pStyle w:val="NoSpacing"/>
        <w:spacing w:line="480" w:lineRule="auto"/>
        <w:rPr>
          <w:rFonts w:ascii="Times New Roman" w:hAnsi="Times New Roman" w:cs="Times New Roman"/>
        </w:rPr>
      </w:pPr>
      <w:r w:rsidRPr="0094650D">
        <w:rPr>
          <w:rFonts w:ascii="Times New Roman" w:hAnsi="Times New Roman" w:cs="Times New Roman"/>
        </w:rPr>
        <w:t xml:space="preserve">“The Red Barn Murder.” </w:t>
      </w:r>
      <w:proofErr w:type="spellStart"/>
      <w:r w:rsidRPr="0094650D">
        <w:rPr>
          <w:rFonts w:ascii="Times New Roman" w:hAnsi="Times New Roman" w:cs="Times New Roman"/>
          <w:i/>
        </w:rPr>
        <w:t>Trewman’s</w:t>
      </w:r>
      <w:proofErr w:type="spellEnd"/>
      <w:r w:rsidRPr="0094650D">
        <w:rPr>
          <w:rFonts w:ascii="Times New Roman" w:hAnsi="Times New Roman" w:cs="Times New Roman"/>
          <w:i/>
        </w:rPr>
        <w:t xml:space="preserve"> Exeter Flying Post or Plymouth and Cornish Advertiser</w:t>
      </w:r>
      <w:r w:rsidRPr="0094650D">
        <w:rPr>
          <w:rFonts w:ascii="Times New Roman" w:hAnsi="Times New Roman" w:cs="Times New Roman"/>
        </w:rPr>
        <w:t xml:space="preserve">, </w:t>
      </w:r>
    </w:p>
    <w:p w14:paraId="56FD4BF7" w14:textId="79865557" w:rsidR="000C1806" w:rsidRPr="00653C5D" w:rsidRDefault="000C1806" w:rsidP="005451AA">
      <w:pPr>
        <w:pStyle w:val="NoSpacing"/>
        <w:spacing w:line="480" w:lineRule="auto"/>
        <w:ind w:firstLine="720"/>
        <w:rPr>
          <w:rFonts w:ascii="Times New Roman" w:hAnsi="Times New Roman" w:cs="Times New Roman"/>
        </w:rPr>
      </w:pPr>
      <w:r w:rsidRPr="0094650D">
        <w:rPr>
          <w:rFonts w:ascii="Times New Roman" w:hAnsi="Times New Roman" w:cs="Times New Roman"/>
        </w:rPr>
        <w:t xml:space="preserve">February 5, 1862. </w:t>
      </w:r>
    </w:p>
    <w:p w14:paraId="4E582C01" w14:textId="0B789730" w:rsidR="000C1806" w:rsidRDefault="005451AA" w:rsidP="005451AA">
      <w:pPr>
        <w:spacing w:line="480" w:lineRule="auto"/>
      </w:pPr>
      <w:r>
        <w:t>“</w:t>
      </w:r>
      <w:r w:rsidR="000C1806">
        <w:t xml:space="preserve">The Trial and Conviction of William </w:t>
      </w:r>
      <w:proofErr w:type="spellStart"/>
      <w:r w:rsidR="000C1806">
        <w:t>Corder</w:t>
      </w:r>
      <w:proofErr w:type="spellEnd"/>
      <w:r w:rsidR="000C1806">
        <w:t xml:space="preserve">,” </w:t>
      </w:r>
      <w:r w:rsidR="000C1806" w:rsidRPr="00A25E22">
        <w:rPr>
          <w:i/>
        </w:rPr>
        <w:t>The Times</w:t>
      </w:r>
      <w:r w:rsidR="000C1806">
        <w:t>, August 9, 1828.</w:t>
      </w:r>
    </w:p>
    <w:p w14:paraId="2C4CBF8A" w14:textId="77777777" w:rsidR="005451AA" w:rsidRDefault="000C1806" w:rsidP="005451AA">
      <w:pPr>
        <w:pStyle w:val="NoSpacing"/>
        <w:spacing w:line="480" w:lineRule="auto"/>
        <w:rPr>
          <w:rFonts w:ascii="Times New Roman" w:hAnsi="Times New Roman" w:cs="Times New Roman"/>
          <w:i/>
        </w:rPr>
      </w:pPr>
      <w:r w:rsidRPr="0094650D">
        <w:rPr>
          <w:rFonts w:ascii="Times New Roman" w:hAnsi="Times New Roman" w:cs="Times New Roman"/>
          <w:i/>
        </w:rPr>
        <w:t xml:space="preserve">The Trial, at Length, of William </w:t>
      </w:r>
      <w:proofErr w:type="spellStart"/>
      <w:r w:rsidRPr="0094650D">
        <w:rPr>
          <w:rFonts w:ascii="Times New Roman" w:hAnsi="Times New Roman" w:cs="Times New Roman"/>
          <w:i/>
        </w:rPr>
        <w:t>Corder</w:t>
      </w:r>
      <w:proofErr w:type="spellEnd"/>
      <w:r w:rsidRPr="0094650D">
        <w:rPr>
          <w:rFonts w:ascii="Times New Roman" w:hAnsi="Times New Roman" w:cs="Times New Roman"/>
          <w:i/>
        </w:rPr>
        <w:t xml:space="preserve">, convicted of the Murder of Maria Marten at </w:t>
      </w:r>
      <w:proofErr w:type="spellStart"/>
      <w:r w:rsidRPr="0094650D">
        <w:rPr>
          <w:rFonts w:ascii="Times New Roman" w:hAnsi="Times New Roman" w:cs="Times New Roman"/>
          <w:i/>
        </w:rPr>
        <w:t>Polstead</w:t>
      </w:r>
      <w:proofErr w:type="spellEnd"/>
      <w:r w:rsidRPr="0094650D">
        <w:rPr>
          <w:rFonts w:ascii="Times New Roman" w:hAnsi="Times New Roman" w:cs="Times New Roman"/>
          <w:i/>
        </w:rPr>
        <w:t xml:space="preserve">, </w:t>
      </w:r>
    </w:p>
    <w:p w14:paraId="279D0412" w14:textId="175CE654" w:rsidR="000C1806" w:rsidRDefault="000C1806" w:rsidP="005451AA">
      <w:pPr>
        <w:pStyle w:val="NoSpacing"/>
        <w:spacing w:line="480" w:lineRule="auto"/>
        <w:ind w:left="720"/>
        <w:rPr>
          <w:rFonts w:ascii="Times New Roman" w:hAnsi="Times New Roman" w:cs="Times New Roman"/>
        </w:rPr>
      </w:pPr>
      <w:r w:rsidRPr="0094650D">
        <w:rPr>
          <w:rFonts w:ascii="Times New Roman" w:hAnsi="Times New Roman" w:cs="Times New Roman"/>
          <w:i/>
        </w:rPr>
        <w:t xml:space="preserve">Suffolk, Before the Lord Chief Baron at Bury Assizes, on Friday, the 7th day of </w:t>
      </w:r>
      <w:proofErr w:type="gramStart"/>
      <w:r w:rsidRPr="0094650D">
        <w:rPr>
          <w:rFonts w:ascii="Times New Roman" w:hAnsi="Times New Roman" w:cs="Times New Roman"/>
          <w:i/>
        </w:rPr>
        <w:t>August,</w:t>
      </w:r>
      <w:proofErr w:type="gramEnd"/>
      <w:r w:rsidRPr="0094650D">
        <w:rPr>
          <w:rFonts w:ascii="Times New Roman" w:hAnsi="Times New Roman" w:cs="Times New Roman"/>
          <w:i/>
        </w:rPr>
        <w:t xml:space="preserve"> 1828</w:t>
      </w:r>
      <w:r w:rsidRPr="0094650D">
        <w:rPr>
          <w:rFonts w:ascii="Times New Roman" w:hAnsi="Times New Roman" w:cs="Times New Roman"/>
        </w:rPr>
        <w:t>. Bury St. Edmunds: T.C. Newby, Angel Hill, 1828.</w:t>
      </w:r>
    </w:p>
    <w:p w14:paraId="61FCEC25" w14:textId="77777777" w:rsidR="005451AA" w:rsidRDefault="000C1806" w:rsidP="005451AA">
      <w:pPr>
        <w:spacing w:line="480" w:lineRule="auto"/>
        <w:rPr>
          <w:i/>
        </w:rPr>
      </w:pPr>
      <w:r>
        <w:t xml:space="preserve">Walsh, Bridget. </w:t>
      </w:r>
      <w:r>
        <w:rPr>
          <w:i/>
        </w:rPr>
        <w:t xml:space="preserve">Domestic Murder in Nineteenth-Century England: Literary and Cultural </w:t>
      </w:r>
    </w:p>
    <w:p w14:paraId="4DB1FAFC" w14:textId="3EFC3A28" w:rsidR="000C1806" w:rsidRPr="000D79F0" w:rsidRDefault="000C1806" w:rsidP="005451AA">
      <w:pPr>
        <w:spacing w:line="480" w:lineRule="auto"/>
        <w:ind w:firstLine="720"/>
      </w:pPr>
      <w:r>
        <w:rPr>
          <w:i/>
        </w:rPr>
        <w:t xml:space="preserve">Representations. </w:t>
      </w:r>
      <w:r>
        <w:t>Surrey: Ashgate Publishing Limited, 2014.</w:t>
      </w:r>
    </w:p>
    <w:p w14:paraId="2E662A1B" w14:textId="77777777" w:rsidR="005451AA" w:rsidRDefault="000C1806" w:rsidP="005451AA">
      <w:pPr>
        <w:spacing w:line="480" w:lineRule="auto"/>
        <w:rPr>
          <w:rFonts w:ascii="Times New Roman" w:hAnsi="Times New Roman" w:cs="Times New Roman"/>
          <w:i/>
        </w:rPr>
      </w:pPr>
      <w:r w:rsidRPr="00C946D7">
        <w:rPr>
          <w:rFonts w:ascii="Times New Roman" w:hAnsi="Times New Roman" w:cs="Times New Roman"/>
        </w:rPr>
        <w:t xml:space="preserve">William </w:t>
      </w:r>
      <w:proofErr w:type="spellStart"/>
      <w:r w:rsidRPr="00C946D7">
        <w:rPr>
          <w:rFonts w:ascii="Times New Roman" w:hAnsi="Times New Roman" w:cs="Times New Roman"/>
        </w:rPr>
        <w:t>Corder</w:t>
      </w:r>
      <w:proofErr w:type="spellEnd"/>
      <w:r w:rsidRPr="00C946D7">
        <w:rPr>
          <w:rFonts w:ascii="Times New Roman" w:hAnsi="Times New Roman" w:cs="Times New Roman"/>
        </w:rPr>
        <w:t>, For the Murder of Maria Marten.” In</w:t>
      </w:r>
      <w:r w:rsidRPr="00C946D7">
        <w:rPr>
          <w:rFonts w:ascii="Times New Roman" w:hAnsi="Times New Roman" w:cs="Times New Roman"/>
          <w:i/>
        </w:rPr>
        <w:t xml:space="preserve"> Celebrated Trials of All Countries, and </w:t>
      </w:r>
    </w:p>
    <w:p w14:paraId="0820B530" w14:textId="206A2567" w:rsidR="000C1806" w:rsidRPr="00411AD7" w:rsidRDefault="000C1806" w:rsidP="005451AA">
      <w:pPr>
        <w:spacing w:line="480" w:lineRule="auto"/>
        <w:ind w:firstLine="720"/>
        <w:rPr>
          <w:rFonts w:ascii="Times New Roman" w:hAnsi="Times New Roman" w:cs="Times New Roman"/>
        </w:rPr>
      </w:pPr>
      <w:proofErr w:type="gramStart"/>
      <w:r w:rsidRPr="00C946D7">
        <w:rPr>
          <w:rFonts w:ascii="Times New Roman" w:hAnsi="Times New Roman" w:cs="Times New Roman"/>
          <w:i/>
        </w:rPr>
        <w:t>Remarkable Cases of Criminal Jurisprudence</w:t>
      </w:r>
      <w:r w:rsidRPr="00C946D7">
        <w:rPr>
          <w:rFonts w:ascii="Times New Roman" w:hAnsi="Times New Roman" w:cs="Times New Roman"/>
        </w:rPr>
        <w:t>.</w:t>
      </w:r>
      <w:proofErr w:type="gramEnd"/>
      <w:r w:rsidRPr="00C946D7">
        <w:rPr>
          <w:rFonts w:ascii="Times New Roman" w:hAnsi="Times New Roman" w:cs="Times New Roman"/>
        </w:rPr>
        <w:t xml:space="preserve"> Philadelphia: </w:t>
      </w:r>
      <w:proofErr w:type="spellStart"/>
      <w:r>
        <w:rPr>
          <w:rFonts w:ascii="Times New Roman" w:hAnsi="Times New Roman" w:cs="Times New Roman"/>
        </w:rPr>
        <w:t>Jesper</w:t>
      </w:r>
      <w:proofErr w:type="spellEnd"/>
      <w:r>
        <w:rPr>
          <w:rFonts w:ascii="Times New Roman" w:hAnsi="Times New Roman" w:cs="Times New Roman"/>
        </w:rPr>
        <w:t xml:space="preserve"> Harding, 1847.</w:t>
      </w:r>
    </w:p>
    <w:sectPr w:rsidR="000C1806" w:rsidRPr="00411AD7" w:rsidSect="006E4E08">
      <w:headerReference w:type="even" r:id="rId9"/>
      <w:headerReference w:type="default" r:id="rId10"/>
      <w:footerReference w:type="even" r:id="rId11"/>
      <w:footerReference w:type="default" r:id="rId12"/>
      <w:head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BD99E" w14:textId="77777777" w:rsidR="005E2143" w:rsidRDefault="005E2143" w:rsidP="007F75E1">
      <w:r>
        <w:separator/>
      </w:r>
    </w:p>
  </w:endnote>
  <w:endnote w:type="continuationSeparator" w:id="0">
    <w:p w14:paraId="73DABF5A" w14:textId="77777777" w:rsidR="005E2143" w:rsidRDefault="005E2143" w:rsidP="007F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878E" w14:textId="77777777" w:rsidR="005E2143" w:rsidRDefault="005E2143" w:rsidP="00377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59505" w14:textId="77777777" w:rsidR="005E2143" w:rsidRDefault="005E2143" w:rsidP="00B719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14CF" w14:textId="131A55BF" w:rsidR="005E2143" w:rsidRDefault="005E2143" w:rsidP="00B719F7">
    <w:pPr>
      <w:pStyle w:val="Footer"/>
      <w:framePr w:wrap="around" w:vAnchor="text" w:hAnchor="margin" w:xAlign="right" w:y="1"/>
      <w:rPr>
        <w:rStyle w:val="PageNumber"/>
      </w:rPr>
    </w:pPr>
  </w:p>
  <w:p w14:paraId="7458391B" w14:textId="77777777" w:rsidR="005E2143" w:rsidRDefault="005E2143" w:rsidP="00B719F7">
    <w:pPr>
      <w:pStyle w:val="Footer"/>
      <w:framePr w:wrap="around" w:vAnchor="text" w:hAnchor="margin" w:xAlign="righ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78F03" w14:textId="77777777" w:rsidR="005E2143" w:rsidRDefault="005E2143" w:rsidP="007F75E1">
      <w:r>
        <w:separator/>
      </w:r>
    </w:p>
  </w:footnote>
  <w:footnote w:type="continuationSeparator" w:id="0">
    <w:p w14:paraId="72B89484" w14:textId="77777777" w:rsidR="005E2143" w:rsidRDefault="005E2143" w:rsidP="007F75E1">
      <w:r>
        <w:continuationSeparator/>
      </w:r>
    </w:p>
  </w:footnote>
  <w:footnote w:id="1">
    <w:p w14:paraId="0ACA8C6A" w14:textId="22634A1F" w:rsidR="005E2143" w:rsidRPr="0030368F" w:rsidRDefault="005E2143" w:rsidP="00F47AE2">
      <w:pPr>
        <w:pStyle w:val="FootnoteText"/>
        <w:rPr>
          <w:lang w:val="en-US"/>
        </w:rPr>
      </w:pPr>
      <w:r>
        <w:rPr>
          <w:rStyle w:val="FootnoteReference"/>
        </w:rPr>
        <w:footnoteRef/>
      </w:r>
      <w:r>
        <w:t xml:space="preserve"> Robert </w:t>
      </w:r>
      <w:proofErr w:type="spellStart"/>
      <w:r>
        <w:t>Huish</w:t>
      </w:r>
      <w:proofErr w:type="spellEnd"/>
      <w:r>
        <w:t xml:space="preserve">, </w:t>
      </w:r>
      <w:r w:rsidRPr="00AA1119">
        <w:rPr>
          <w:rFonts w:ascii="Times New Roman" w:hAnsi="Times New Roman" w:cs="Times New Roman"/>
          <w:i/>
        </w:rPr>
        <w:t>The Red Barn: A Tale Founded on Fact</w:t>
      </w:r>
      <w:r w:rsidRPr="00AA1119">
        <w:rPr>
          <w:rFonts w:ascii="Times New Roman" w:hAnsi="Times New Roman" w:cs="Times New Roman"/>
        </w:rPr>
        <w:t>. (Eng</w:t>
      </w:r>
      <w:r>
        <w:rPr>
          <w:rFonts w:ascii="Times New Roman" w:hAnsi="Times New Roman" w:cs="Times New Roman"/>
        </w:rPr>
        <w:t xml:space="preserve">land: Knight and </w:t>
      </w:r>
      <w:proofErr w:type="spellStart"/>
      <w:r>
        <w:rPr>
          <w:rFonts w:ascii="Times New Roman" w:hAnsi="Times New Roman" w:cs="Times New Roman"/>
        </w:rPr>
        <w:t>Lacey</w:t>
      </w:r>
      <w:proofErr w:type="spellEnd"/>
      <w:r>
        <w:rPr>
          <w:rFonts w:ascii="Times New Roman" w:hAnsi="Times New Roman" w:cs="Times New Roman"/>
        </w:rPr>
        <w:t>, 1828)</w:t>
      </w:r>
      <w:proofErr w:type="gramStart"/>
      <w:r>
        <w:rPr>
          <w:rFonts w:ascii="Times New Roman" w:hAnsi="Times New Roman" w:cs="Times New Roman"/>
        </w:rPr>
        <w:t>, 4.</w:t>
      </w:r>
      <w:proofErr w:type="gramEnd"/>
    </w:p>
  </w:footnote>
  <w:footnote w:id="2">
    <w:p w14:paraId="3B287D2F" w14:textId="79571C1D" w:rsidR="00E71E5B" w:rsidRPr="005F6B64" w:rsidRDefault="005E2143" w:rsidP="005F6B64">
      <w:pPr>
        <w:pStyle w:val="NoSpacing"/>
        <w:rPr>
          <w:rFonts w:ascii="Times New Roman" w:hAnsi="Times New Roman" w:cs="Times New Roman"/>
        </w:rPr>
      </w:pPr>
      <w:r>
        <w:rPr>
          <w:rStyle w:val="FootnoteReference"/>
        </w:rPr>
        <w:footnoteRef/>
      </w:r>
      <w:r>
        <w:t xml:space="preserve"> </w:t>
      </w:r>
      <w:r w:rsidRPr="0094650D">
        <w:rPr>
          <w:rFonts w:ascii="Times New Roman" w:hAnsi="Times New Roman" w:cs="Times New Roman"/>
        </w:rPr>
        <w:t xml:space="preserve">“The Red Barn Murder.” </w:t>
      </w:r>
      <w:proofErr w:type="spellStart"/>
      <w:proofErr w:type="gramStart"/>
      <w:r w:rsidRPr="0094650D">
        <w:rPr>
          <w:rFonts w:ascii="Times New Roman" w:hAnsi="Times New Roman" w:cs="Times New Roman"/>
          <w:i/>
        </w:rPr>
        <w:t>Trewman’s</w:t>
      </w:r>
      <w:proofErr w:type="spellEnd"/>
      <w:r w:rsidRPr="0094650D">
        <w:rPr>
          <w:rFonts w:ascii="Times New Roman" w:hAnsi="Times New Roman" w:cs="Times New Roman"/>
          <w:i/>
        </w:rPr>
        <w:t xml:space="preserve"> Exeter Flying </w:t>
      </w:r>
      <w:r>
        <w:rPr>
          <w:rFonts w:ascii="Times New Roman" w:hAnsi="Times New Roman" w:cs="Times New Roman"/>
          <w:i/>
        </w:rPr>
        <w:t xml:space="preserve">Post or Plymouth and Cornish </w:t>
      </w:r>
      <w:r w:rsidRPr="0094650D">
        <w:rPr>
          <w:rFonts w:ascii="Times New Roman" w:hAnsi="Times New Roman" w:cs="Times New Roman"/>
          <w:i/>
        </w:rPr>
        <w:t>Advertiser</w:t>
      </w:r>
      <w:r w:rsidRPr="0094650D">
        <w:rPr>
          <w:rFonts w:ascii="Times New Roman" w:hAnsi="Times New Roman" w:cs="Times New Roman"/>
        </w:rPr>
        <w:t>, February 5, 1862.</w:t>
      </w:r>
      <w:proofErr w:type="gramEnd"/>
      <w:r w:rsidRPr="0094650D">
        <w:rPr>
          <w:rFonts w:ascii="Times New Roman" w:hAnsi="Times New Roman" w:cs="Times New Roman"/>
        </w:rPr>
        <w:t xml:space="preserve"> </w:t>
      </w:r>
    </w:p>
  </w:footnote>
  <w:footnote w:id="3">
    <w:p w14:paraId="1B573C88" w14:textId="1DDE7275" w:rsidR="00E71E5B" w:rsidRPr="005F6B64" w:rsidRDefault="005E2143" w:rsidP="005F6B64">
      <w:pPr>
        <w:rPr>
          <w:rFonts w:ascii="Times New Roman" w:hAnsi="Times New Roman" w:cs="Times New Roman"/>
        </w:rPr>
      </w:pPr>
      <w:r>
        <w:rPr>
          <w:rStyle w:val="FootnoteReference"/>
        </w:rPr>
        <w:footnoteRef/>
      </w:r>
      <w:r>
        <w:t xml:space="preserve"> </w:t>
      </w:r>
      <w:r w:rsidRPr="005F6B64">
        <w:rPr>
          <w:rFonts w:ascii="Times New Roman" w:hAnsi="Times New Roman" w:cs="Times New Roman"/>
        </w:rPr>
        <w:t xml:space="preserve">“William </w:t>
      </w:r>
      <w:proofErr w:type="spellStart"/>
      <w:r w:rsidRPr="005F6B64">
        <w:rPr>
          <w:rFonts w:ascii="Times New Roman" w:hAnsi="Times New Roman" w:cs="Times New Roman"/>
        </w:rPr>
        <w:t>Corder</w:t>
      </w:r>
      <w:proofErr w:type="spellEnd"/>
      <w:r w:rsidRPr="005F6B64">
        <w:rPr>
          <w:rFonts w:ascii="Times New Roman" w:hAnsi="Times New Roman" w:cs="Times New Roman"/>
        </w:rPr>
        <w:t>, For the Murder of Maria Marten,” in</w:t>
      </w:r>
      <w:r w:rsidRPr="005F6B64">
        <w:rPr>
          <w:rFonts w:ascii="Times New Roman" w:hAnsi="Times New Roman" w:cs="Times New Roman"/>
          <w:i/>
        </w:rPr>
        <w:t xml:space="preserve"> Celebrated Trials of All Countries, and Remarkable Cases of Criminal Jurisprudence</w:t>
      </w:r>
      <w:r w:rsidRPr="005F6B64">
        <w:rPr>
          <w:rFonts w:ascii="Times New Roman" w:hAnsi="Times New Roman" w:cs="Times New Roman"/>
        </w:rPr>
        <w:t xml:space="preserve">. (Philadelphia: </w:t>
      </w:r>
      <w:proofErr w:type="spellStart"/>
      <w:r w:rsidRPr="005F6B64">
        <w:rPr>
          <w:rFonts w:ascii="Times New Roman" w:hAnsi="Times New Roman" w:cs="Times New Roman"/>
        </w:rPr>
        <w:t>J</w:t>
      </w:r>
      <w:r>
        <w:rPr>
          <w:rFonts w:ascii="Times New Roman" w:hAnsi="Times New Roman" w:cs="Times New Roman"/>
        </w:rPr>
        <w:t>esper</w:t>
      </w:r>
      <w:proofErr w:type="spellEnd"/>
      <w:r>
        <w:rPr>
          <w:rFonts w:ascii="Times New Roman" w:hAnsi="Times New Roman" w:cs="Times New Roman"/>
        </w:rPr>
        <w:t xml:space="preserve"> Harding, 1847)</w:t>
      </w:r>
      <w:proofErr w:type="gramStart"/>
      <w:r>
        <w:rPr>
          <w:rFonts w:ascii="Times New Roman" w:hAnsi="Times New Roman" w:cs="Times New Roman"/>
        </w:rPr>
        <w:t>, 216.</w:t>
      </w:r>
      <w:proofErr w:type="gramEnd"/>
    </w:p>
  </w:footnote>
  <w:footnote w:id="4">
    <w:p w14:paraId="7CB9F9AE" w14:textId="79D9B7F6" w:rsidR="00E71E5B" w:rsidRPr="005451AA" w:rsidRDefault="005E2143">
      <w:pPr>
        <w:pStyle w:val="FootnoteText"/>
      </w:pPr>
      <w:r>
        <w:rPr>
          <w:rStyle w:val="FootnoteReference"/>
        </w:rPr>
        <w:footnoteRef/>
      </w:r>
      <w:r>
        <w:t xml:space="preserve"> “The Red Barn Murder.”</w:t>
      </w:r>
    </w:p>
  </w:footnote>
  <w:footnote w:id="5">
    <w:p w14:paraId="1EF2C5CA" w14:textId="6800F495" w:rsidR="005E2143" w:rsidRPr="005F6B64" w:rsidRDefault="005E2143">
      <w:pPr>
        <w:pStyle w:val="FootnoteText"/>
        <w:rPr>
          <w:lang w:val="en-US"/>
        </w:rPr>
      </w:pPr>
      <w:r>
        <w:rPr>
          <w:rStyle w:val="FootnoteReference"/>
        </w:rPr>
        <w:footnoteRef/>
      </w:r>
      <w:r>
        <w:t xml:space="preserve"> “The Trial and Conviction of William </w:t>
      </w:r>
      <w:proofErr w:type="spellStart"/>
      <w:r>
        <w:t>Corder</w:t>
      </w:r>
      <w:proofErr w:type="spellEnd"/>
      <w:r>
        <w:t xml:space="preserve">,” </w:t>
      </w:r>
      <w:r w:rsidRPr="00A25E22">
        <w:rPr>
          <w:i/>
        </w:rPr>
        <w:t>The Times</w:t>
      </w:r>
      <w:r>
        <w:t>, August 9, 1828.</w:t>
      </w:r>
    </w:p>
  </w:footnote>
  <w:footnote w:id="6">
    <w:p w14:paraId="05AC84F8" w14:textId="307340D2" w:rsidR="00E71E5B" w:rsidRPr="00541159" w:rsidRDefault="005E2143" w:rsidP="00541159">
      <w:r>
        <w:rPr>
          <w:rStyle w:val="FootnoteReference"/>
        </w:rPr>
        <w:footnoteRef/>
      </w:r>
      <w:r>
        <w:t xml:space="preserve"> Andrew Maunder and Grace Moore, </w:t>
      </w:r>
      <w:proofErr w:type="gramStart"/>
      <w:r>
        <w:t>eds</w:t>
      </w:r>
      <w:proofErr w:type="gramEnd"/>
      <w:r>
        <w:t xml:space="preserve">. </w:t>
      </w:r>
      <w:r w:rsidRPr="00541159">
        <w:rPr>
          <w:i/>
        </w:rPr>
        <w:t xml:space="preserve">Victorian Crime, Madness and Sensation. </w:t>
      </w:r>
      <w:r>
        <w:t>(Hampshire: Ashgate, 2004)</w:t>
      </w:r>
      <w:proofErr w:type="gramStart"/>
      <w:r>
        <w:t>, 4.</w:t>
      </w:r>
      <w:proofErr w:type="gramEnd"/>
    </w:p>
  </w:footnote>
  <w:footnote w:id="7">
    <w:p w14:paraId="7F2A75AA" w14:textId="1039A713" w:rsidR="005E2143" w:rsidRDefault="005E2143" w:rsidP="00541159">
      <w:r>
        <w:rPr>
          <w:rStyle w:val="FootnoteReference"/>
        </w:rPr>
        <w:footnoteRef/>
      </w:r>
      <w:r>
        <w:t xml:space="preserve"> Bridget Walsh. </w:t>
      </w:r>
      <w:r w:rsidRPr="00541159">
        <w:rPr>
          <w:i/>
        </w:rPr>
        <w:t xml:space="preserve">Domestic Murder in Nineteenth-Century England: Literary and Cultural Representations. </w:t>
      </w:r>
      <w:r>
        <w:t>(Surrey: Ashgate Publishing Limited, 2014)</w:t>
      </w:r>
      <w:proofErr w:type="gramStart"/>
      <w:r>
        <w:t>, 23.</w:t>
      </w:r>
      <w:proofErr w:type="gramEnd"/>
    </w:p>
    <w:p w14:paraId="65D8D8D5" w14:textId="5B388680" w:rsidR="005E2143" w:rsidRPr="00541159" w:rsidRDefault="005E2143">
      <w:pPr>
        <w:pStyle w:val="FootnoteText"/>
        <w:rPr>
          <w:lang w:val="en-US"/>
        </w:rPr>
      </w:pPr>
    </w:p>
  </w:footnote>
  <w:footnote w:id="8">
    <w:p w14:paraId="4675E234" w14:textId="508A73DB" w:rsidR="00E71E5B" w:rsidRPr="00224C95" w:rsidRDefault="005E2143" w:rsidP="00224C95">
      <w:r>
        <w:rPr>
          <w:rStyle w:val="FootnoteReference"/>
        </w:rPr>
        <w:footnoteRef/>
      </w:r>
      <w:r>
        <w:t xml:space="preserve"> </w:t>
      </w:r>
      <w:proofErr w:type="gramStart"/>
      <w:r>
        <w:t xml:space="preserve">Walsh, </w:t>
      </w:r>
      <w:r w:rsidRPr="00541159">
        <w:rPr>
          <w:i/>
        </w:rPr>
        <w:t xml:space="preserve">Domestic Murder, </w:t>
      </w:r>
      <w:r>
        <w:t>57.</w:t>
      </w:r>
      <w:proofErr w:type="gramEnd"/>
    </w:p>
  </w:footnote>
  <w:footnote w:id="9">
    <w:p w14:paraId="0C1E9CA0" w14:textId="0B2D1AB4" w:rsidR="005E2143" w:rsidRPr="00224C95" w:rsidRDefault="005E2143" w:rsidP="00224C95">
      <w:pPr>
        <w:rPr>
          <w:i/>
        </w:rPr>
      </w:pPr>
      <w:r>
        <w:rPr>
          <w:rStyle w:val="FootnoteReference"/>
        </w:rPr>
        <w:footnoteRef/>
      </w:r>
      <w:r>
        <w:t xml:space="preserve"> </w:t>
      </w:r>
      <w:r w:rsidRPr="00224C95">
        <w:rPr>
          <w:i/>
        </w:rPr>
        <w:t xml:space="preserve">An Accurate Account of the Trial of William </w:t>
      </w:r>
      <w:proofErr w:type="spellStart"/>
      <w:r w:rsidRPr="00224C95">
        <w:rPr>
          <w:i/>
        </w:rPr>
        <w:t>Corder</w:t>
      </w:r>
      <w:proofErr w:type="spellEnd"/>
      <w:r w:rsidRPr="00224C95">
        <w:rPr>
          <w:i/>
        </w:rPr>
        <w:t xml:space="preserve"> for the Murder of Maria </w:t>
      </w:r>
      <w:proofErr w:type="gramStart"/>
      <w:r w:rsidRPr="00224C95">
        <w:rPr>
          <w:i/>
        </w:rPr>
        <w:t>Marten…,</w:t>
      </w:r>
      <w:proofErr w:type="gramEnd"/>
      <w:r w:rsidRPr="00224C95">
        <w:rPr>
          <w:i/>
        </w:rPr>
        <w:t xml:space="preserve"> 9.</w:t>
      </w:r>
    </w:p>
  </w:footnote>
  <w:footnote w:id="10">
    <w:p w14:paraId="3373C300" w14:textId="6A8B81E8" w:rsidR="00E71E5B" w:rsidRPr="005451AA" w:rsidRDefault="005E2143" w:rsidP="00EA0580">
      <w:pPr>
        <w:pStyle w:val="FootnoteText"/>
      </w:pPr>
      <w:r>
        <w:rPr>
          <w:rStyle w:val="FootnoteReference"/>
        </w:rPr>
        <w:footnoteRef/>
      </w:r>
      <w:r>
        <w:t xml:space="preserve"> “The Trial and Conviction of William </w:t>
      </w:r>
      <w:proofErr w:type="spellStart"/>
      <w:r>
        <w:t>Corder</w:t>
      </w:r>
      <w:proofErr w:type="spellEnd"/>
      <w:r>
        <w:t>.”</w:t>
      </w:r>
    </w:p>
  </w:footnote>
  <w:footnote w:id="11">
    <w:p w14:paraId="7B0CB63B" w14:textId="050389F6" w:rsidR="00E71E5B" w:rsidRPr="00EA0580" w:rsidRDefault="005E2143" w:rsidP="00EA0580">
      <w:r>
        <w:rPr>
          <w:rStyle w:val="FootnoteReference"/>
        </w:rPr>
        <w:footnoteRef/>
      </w:r>
      <w:r>
        <w:t xml:space="preserve"> J. Curtis, </w:t>
      </w:r>
      <w:r w:rsidRPr="00224C95">
        <w:rPr>
          <w:i/>
        </w:rPr>
        <w:t xml:space="preserve">An Authentic and Faithful History of the Mysterious Murder of Maria Marten... </w:t>
      </w:r>
      <w:proofErr w:type="spellStart"/>
      <w:r w:rsidRPr="00224C95">
        <w:rPr>
          <w:i/>
        </w:rPr>
        <w:t>etc</w:t>
      </w:r>
      <w:proofErr w:type="spellEnd"/>
      <w:r w:rsidRPr="00224C95">
        <w:rPr>
          <w:i/>
        </w:rPr>
        <w:t xml:space="preserve"> </w:t>
      </w:r>
      <w:r>
        <w:t>(London: Thomas Kelly, 1828), 56.</w:t>
      </w:r>
    </w:p>
  </w:footnote>
  <w:footnote w:id="12">
    <w:p w14:paraId="31B7F078" w14:textId="73D04C53" w:rsidR="00E71E5B" w:rsidRPr="00EA0580" w:rsidRDefault="005E2143" w:rsidP="00EA0580">
      <w:r>
        <w:rPr>
          <w:rStyle w:val="FootnoteReference"/>
        </w:rPr>
        <w:footnoteRef/>
      </w:r>
      <w:r>
        <w:t xml:space="preserve"> </w:t>
      </w:r>
      <w:proofErr w:type="gramStart"/>
      <w:r w:rsidRPr="00EA0580">
        <w:rPr>
          <w:i/>
        </w:rPr>
        <w:t xml:space="preserve">An Accurate Account of the Trial, </w:t>
      </w:r>
      <w:r>
        <w:t>3.</w:t>
      </w:r>
      <w:proofErr w:type="gramEnd"/>
    </w:p>
  </w:footnote>
  <w:footnote w:id="13">
    <w:p w14:paraId="7890E8F5" w14:textId="190D0191" w:rsidR="00E71E5B" w:rsidRPr="0058365C" w:rsidRDefault="005E2143" w:rsidP="00767609">
      <w:r>
        <w:rPr>
          <w:rStyle w:val="FootnoteReference"/>
        </w:rPr>
        <w:footnoteRef/>
      </w:r>
      <w:r>
        <w:t xml:space="preserve"> Curtis, </w:t>
      </w:r>
      <w:r w:rsidRPr="00EA0580">
        <w:rPr>
          <w:i/>
        </w:rPr>
        <w:t>An Authentic and Faithful History</w:t>
      </w:r>
      <w:r>
        <w:t>, 179.</w:t>
      </w:r>
    </w:p>
  </w:footnote>
  <w:footnote w:id="14">
    <w:p w14:paraId="6A45F623" w14:textId="2301E36E" w:rsidR="00E71E5B" w:rsidRPr="005451AA" w:rsidRDefault="005E2143" w:rsidP="00767609">
      <w:pPr>
        <w:pStyle w:val="FootnoteText"/>
      </w:pPr>
      <w:r>
        <w:rPr>
          <w:rStyle w:val="FootnoteReference"/>
        </w:rPr>
        <w:footnoteRef/>
      </w:r>
      <w:r>
        <w:t xml:space="preserve"> “Bury St. Edmunds, Aug 4,” </w:t>
      </w:r>
      <w:r>
        <w:rPr>
          <w:i/>
        </w:rPr>
        <w:t>The</w:t>
      </w:r>
      <w:r w:rsidRPr="00772198">
        <w:rPr>
          <w:i/>
        </w:rPr>
        <w:t xml:space="preserve"> Times</w:t>
      </w:r>
      <w:r>
        <w:rPr>
          <w:i/>
        </w:rPr>
        <w:t xml:space="preserve">, </w:t>
      </w:r>
      <w:r>
        <w:t>August 6, 1828.</w:t>
      </w:r>
    </w:p>
  </w:footnote>
  <w:footnote w:id="15">
    <w:p w14:paraId="09A761F8" w14:textId="47397FF0" w:rsidR="005E2143" w:rsidRDefault="005E2143" w:rsidP="00767609">
      <w:r>
        <w:rPr>
          <w:rStyle w:val="FootnoteReference"/>
        </w:rPr>
        <w:footnoteRef/>
      </w:r>
      <w:r>
        <w:t xml:space="preserve"> J. </w:t>
      </w:r>
      <w:proofErr w:type="spellStart"/>
      <w:r>
        <w:t>Neeleman</w:t>
      </w:r>
      <w:proofErr w:type="spellEnd"/>
      <w:r>
        <w:t xml:space="preserve">. “Suicide as a crime in the UK: legal history, international comparisons and present implication.” </w:t>
      </w:r>
      <w:r w:rsidRPr="00767609">
        <w:rPr>
          <w:i/>
        </w:rPr>
        <w:t>Acta Psychiatrica Scandinavica</w:t>
      </w:r>
      <w:r>
        <w:t xml:space="preserve"> (1996): 252.</w:t>
      </w:r>
    </w:p>
    <w:p w14:paraId="722C2814" w14:textId="65FBD857" w:rsidR="005E2143" w:rsidRPr="00767609" w:rsidRDefault="005E2143">
      <w:pPr>
        <w:pStyle w:val="FootnoteText"/>
        <w:rPr>
          <w:lang w:val="en-US"/>
        </w:rPr>
      </w:pPr>
    </w:p>
  </w:footnote>
  <w:footnote w:id="16">
    <w:p w14:paraId="190095BA" w14:textId="1A7EBEF1" w:rsidR="00E71E5B" w:rsidRPr="00A6300D" w:rsidRDefault="005E2143" w:rsidP="00A6300D">
      <w:r>
        <w:rPr>
          <w:rStyle w:val="FootnoteReference"/>
        </w:rPr>
        <w:footnoteRef/>
      </w:r>
      <w:r>
        <w:t xml:space="preserve"> Michel Foucault, </w:t>
      </w:r>
      <w:r w:rsidRPr="00CD59AB">
        <w:rPr>
          <w:i/>
        </w:rPr>
        <w:t xml:space="preserve">Discipline and Punish: The Birth of the Prison, </w:t>
      </w:r>
      <w:r>
        <w:t>trans. Alan Sheridan (New York: Vintage, 1975), 34.</w:t>
      </w:r>
    </w:p>
  </w:footnote>
  <w:footnote w:id="17">
    <w:p w14:paraId="67863421" w14:textId="0B6FDE13" w:rsidR="00E71E5B" w:rsidRPr="00E71E5B" w:rsidRDefault="005E2143" w:rsidP="00BA6CBA">
      <w:pPr>
        <w:pStyle w:val="FootnoteText"/>
      </w:pPr>
      <w:r>
        <w:rPr>
          <w:rStyle w:val="FootnoteReference"/>
        </w:rPr>
        <w:footnoteRef/>
      </w:r>
      <w:r>
        <w:t xml:space="preserve"> Thomas W. </w:t>
      </w:r>
      <w:proofErr w:type="spellStart"/>
      <w:r>
        <w:t>Laqueur</w:t>
      </w:r>
      <w:proofErr w:type="spellEnd"/>
      <w:r>
        <w:t xml:space="preserve">, “Crowds, carnival and the State in English executions, 1604-1868,” in </w:t>
      </w:r>
      <w:r>
        <w:rPr>
          <w:i/>
        </w:rPr>
        <w:t xml:space="preserve">The First modern society: essays in English history in honour of Lawrence Stone, </w:t>
      </w:r>
      <w:proofErr w:type="gramStart"/>
      <w:r>
        <w:t>eds</w:t>
      </w:r>
      <w:proofErr w:type="gramEnd"/>
      <w:r>
        <w:t xml:space="preserve">. A. L </w:t>
      </w:r>
      <w:proofErr w:type="spellStart"/>
      <w:r>
        <w:t>Beier</w:t>
      </w:r>
      <w:proofErr w:type="spellEnd"/>
      <w:r>
        <w:t xml:space="preserve">, David </w:t>
      </w:r>
      <w:proofErr w:type="spellStart"/>
      <w:r>
        <w:t>Cannadine</w:t>
      </w:r>
      <w:proofErr w:type="spellEnd"/>
      <w:r>
        <w:t xml:space="preserve">, and James M. Rosenheim (Cambridge: Cambridge University Press, 1989), 321. </w:t>
      </w:r>
    </w:p>
  </w:footnote>
  <w:footnote w:id="18">
    <w:p w14:paraId="228AB79F" w14:textId="5DA72D0F" w:rsidR="00E71E5B" w:rsidRPr="00BA6CBA" w:rsidRDefault="005E2143" w:rsidP="00537F50">
      <w:r>
        <w:rPr>
          <w:rStyle w:val="FootnoteReference"/>
        </w:rPr>
        <w:footnoteRef/>
      </w:r>
      <w:r>
        <w:t xml:space="preserve"> V. A. C. </w:t>
      </w:r>
      <w:proofErr w:type="spellStart"/>
      <w:r>
        <w:t>Gatrell</w:t>
      </w:r>
      <w:proofErr w:type="spellEnd"/>
      <w:r>
        <w:t xml:space="preserve">, </w:t>
      </w:r>
      <w:r w:rsidRPr="00C50AF6">
        <w:rPr>
          <w:i/>
        </w:rPr>
        <w:t xml:space="preserve">The Hanging Tree: Execution and the English People 1770-1868 </w:t>
      </w:r>
      <w:r>
        <w:t>(New York: Oxford University Press, 1994), 7.</w:t>
      </w:r>
    </w:p>
  </w:footnote>
  <w:footnote w:id="19">
    <w:p w14:paraId="01E5B933" w14:textId="0AD5163C" w:rsidR="005E2143" w:rsidRPr="00537F50" w:rsidRDefault="005E2143" w:rsidP="00537F50">
      <w:r>
        <w:rPr>
          <w:rStyle w:val="FootnoteReference"/>
        </w:rPr>
        <w:footnoteRef/>
      </w:r>
      <w:r>
        <w:t xml:space="preserve"> </w:t>
      </w:r>
      <w:proofErr w:type="gramStart"/>
      <w:r>
        <w:t xml:space="preserve">Walsh, </w:t>
      </w:r>
      <w:r w:rsidRPr="00BA6CBA">
        <w:rPr>
          <w:i/>
        </w:rPr>
        <w:t xml:space="preserve">Domestic Murder, </w:t>
      </w:r>
      <w:r>
        <w:t>50.</w:t>
      </w:r>
      <w:proofErr w:type="gramEnd"/>
    </w:p>
  </w:footnote>
  <w:footnote w:id="20">
    <w:p w14:paraId="155875A8" w14:textId="3C3EEB4D" w:rsidR="005E2143" w:rsidRPr="00534060" w:rsidRDefault="005E2143" w:rsidP="00537F50">
      <w:r>
        <w:rPr>
          <w:rStyle w:val="FootnoteReference"/>
        </w:rPr>
        <w:footnoteRef/>
      </w:r>
      <w:r>
        <w:t xml:space="preserve"> </w:t>
      </w:r>
      <w:proofErr w:type="spellStart"/>
      <w:proofErr w:type="gramStart"/>
      <w:r>
        <w:t>Gatrell</w:t>
      </w:r>
      <w:proofErr w:type="spellEnd"/>
      <w:r>
        <w:t xml:space="preserve">, </w:t>
      </w:r>
      <w:r w:rsidRPr="00537F50">
        <w:rPr>
          <w:i/>
        </w:rPr>
        <w:t xml:space="preserve">The Hanging Tree, </w:t>
      </w:r>
      <w:r>
        <w:t>7.</w:t>
      </w:r>
      <w:proofErr w:type="gramEnd"/>
    </w:p>
    <w:p w14:paraId="529A9131" w14:textId="19FBB64D" w:rsidR="005E2143" w:rsidRPr="00537F50" w:rsidRDefault="005E2143">
      <w:pPr>
        <w:pStyle w:val="FootnoteText"/>
        <w:rPr>
          <w:lang w:val="en-US"/>
        </w:rPr>
      </w:pPr>
    </w:p>
  </w:footnote>
  <w:footnote w:id="21">
    <w:p w14:paraId="3EB31C3D" w14:textId="71786E17" w:rsidR="00E71E5B" w:rsidRPr="00D6757B" w:rsidRDefault="005E2143" w:rsidP="0075353B">
      <w:r>
        <w:rPr>
          <w:rStyle w:val="FootnoteReference"/>
        </w:rPr>
        <w:footnoteRef/>
      </w:r>
      <w:r>
        <w:t xml:space="preserve"> </w:t>
      </w:r>
      <w:proofErr w:type="spellStart"/>
      <w:proofErr w:type="gramStart"/>
      <w:r>
        <w:t>Gatrell</w:t>
      </w:r>
      <w:proofErr w:type="spellEnd"/>
      <w:r>
        <w:t xml:space="preserve">, </w:t>
      </w:r>
      <w:r w:rsidRPr="003D239D">
        <w:rPr>
          <w:i/>
        </w:rPr>
        <w:t xml:space="preserve">The Hanging Tree, </w:t>
      </w:r>
      <w:r>
        <w:t>9.</w:t>
      </w:r>
      <w:proofErr w:type="gramEnd"/>
    </w:p>
  </w:footnote>
  <w:footnote w:id="22">
    <w:p w14:paraId="784F22F4" w14:textId="342459CC" w:rsidR="00E71E5B" w:rsidRPr="0075353B" w:rsidRDefault="005E2143" w:rsidP="007A7416">
      <w:r>
        <w:rPr>
          <w:rStyle w:val="FootnoteReference"/>
        </w:rPr>
        <w:footnoteRef/>
      </w:r>
      <w:r>
        <w:t xml:space="preserve"> </w:t>
      </w:r>
      <w:proofErr w:type="gramStart"/>
      <w:r>
        <w:t xml:space="preserve">Walsh, </w:t>
      </w:r>
      <w:r w:rsidRPr="00D6757B">
        <w:rPr>
          <w:i/>
        </w:rPr>
        <w:t xml:space="preserve">Domestic Murder, </w:t>
      </w:r>
      <w:r>
        <w:t>50.</w:t>
      </w:r>
      <w:proofErr w:type="gramEnd"/>
    </w:p>
  </w:footnote>
  <w:footnote w:id="23">
    <w:p w14:paraId="2897217E" w14:textId="23EEAD14" w:rsidR="005E2143" w:rsidRPr="007A7416" w:rsidRDefault="005E2143" w:rsidP="007A7416">
      <w:r>
        <w:rPr>
          <w:rStyle w:val="FootnoteReference"/>
        </w:rPr>
        <w:footnoteRef/>
      </w:r>
      <w:r>
        <w:t xml:space="preserve"> “Conduct, Confessions, and Execution of </w:t>
      </w:r>
      <w:proofErr w:type="spellStart"/>
      <w:r>
        <w:t>Corder</w:t>
      </w:r>
      <w:proofErr w:type="spellEnd"/>
      <w:r>
        <w:t xml:space="preserve">,” </w:t>
      </w:r>
      <w:r w:rsidRPr="0075353B">
        <w:rPr>
          <w:i/>
        </w:rPr>
        <w:t>The Times</w:t>
      </w:r>
      <w:r>
        <w:t xml:space="preserve">, August 12, 1828. </w:t>
      </w:r>
    </w:p>
  </w:footnote>
  <w:footnote w:id="24">
    <w:p w14:paraId="3258F4CB" w14:textId="2737441B" w:rsidR="005E2143" w:rsidRDefault="005E2143" w:rsidP="007A7416">
      <w:r>
        <w:rPr>
          <w:rStyle w:val="FootnoteReference"/>
        </w:rPr>
        <w:footnoteRef/>
      </w:r>
      <w:r>
        <w:t xml:space="preserve"> Kingsley Davis, “Illegitimacy and the Social Structure.”  </w:t>
      </w:r>
      <w:r w:rsidRPr="007A7416">
        <w:rPr>
          <w:i/>
        </w:rPr>
        <w:t xml:space="preserve">American Journal of Sociology 45 </w:t>
      </w:r>
      <w:r>
        <w:t>(1939): 215.</w:t>
      </w:r>
    </w:p>
    <w:p w14:paraId="00916429" w14:textId="23F6138E" w:rsidR="005E2143" w:rsidRPr="007A7416" w:rsidRDefault="005E2143">
      <w:pPr>
        <w:pStyle w:val="FootnoteText"/>
        <w:rPr>
          <w:lang w:val="en-US"/>
        </w:rPr>
      </w:pPr>
    </w:p>
  </w:footnote>
  <w:footnote w:id="25">
    <w:p w14:paraId="0EFCDFD5" w14:textId="7195C13F" w:rsidR="00E71E5B" w:rsidRPr="00362BCA" w:rsidRDefault="005E2143" w:rsidP="00362BCA">
      <w:pPr>
        <w:rPr>
          <w:rFonts w:ascii="Times New Roman" w:hAnsi="Times New Roman" w:cs="Times New Roman"/>
        </w:rPr>
      </w:pPr>
      <w:r>
        <w:rPr>
          <w:rStyle w:val="FootnoteReference"/>
        </w:rPr>
        <w:footnoteRef/>
      </w:r>
      <w:r>
        <w:t xml:space="preserve"> </w:t>
      </w:r>
      <w:r>
        <w:rPr>
          <w:rFonts w:ascii="Times New Roman" w:hAnsi="Times New Roman" w:cs="Times New Roman"/>
        </w:rPr>
        <w:t xml:space="preserve">“William </w:t>
      </w:r>
      <w:proofErr w:type="spellStart"/>
      <w:r>
        <w:rPr>
          <w:rFonts w:ascii="Times New Roman" w:hAnsi="Times New Roman" w:cs="Times New Roman"/>
        </w:rPr>
        <w:t>Corder</w:t>
      </w:r>
      <w:proofErr w:type="spellEnd"/>
      <w:r>
        <w:rPr>
          <w:rFonts w:ascii="Times New Roman" w:hAnsi="Times New Roman" w:cs="Times New Roman"/>
        </w:rPr>
        <w:t>,” 215.</w:t>
      </w:r>
    </w:p>
  </w:footnote>
  <w:footnote w:id="26">
    <w:p w14:paraId="1623A528" w14:textId="19237B6F" w:rsidR="00E71E5B" w:rsidRPr="005451AA" w:rsidRDefault="005E2143" w:rsidP="00362BCA">
      <w:pPr>
        <w:pStyle w:val="FootnoteText"/>
      </w:pPr>
      <w:r>
        <w:rPr>
          <w:rStyle w:val="FootnoteReference"/>
        </w:rPr>
        <w:footnoteRef/>
      </w:r>
      <w:r>
        <w:t xml:space="preserve"> Alan MacFarlane, “Illegitimacy and illegitimates in English history,” in </w:t>
      </w:r>
      <w:r>
        <w:rPr>
          <w:i/>
        </w:rPr>
        <w:t>Bastardy and its Comparative History,</w:t>
      </w:r>
      <w:r>
        <w:t xml:space="preserve"> </w:t>
      </w:r>
      <w:proofErr w:type="gramStart"/>
      <w:r>
        <w:t>eds</w:t>
      </w:r>
      <w:proofErr w:type="gramEnd"/>
      <w:r>
        <w:t xml:space="preserve">. Peter </w:t>
      </w:r>
      <w:proofErr w:type="spellStart"/>
      <w:r>
        <w:t>Laslett</w:t>
      </w:r>
      <w:proofErr w:type="spellEnd"/>
      <w:r>
        <w:t xml:space="preserve">, Karla </w:t>
      </w:r>
      <w:proofErr w:type="spellStart"/>
      <w:r>
        <w:t>Oosterveen</w:t>
      </w:r>
      <w:proofErr w:type="spellEnd"/>
      <w:r>
        <w:t xml:space="preserve"> and Richard M. Smith (London: Edward Arnold, 1980), 73.</w:t>
      </w:r>
    </w:p>
  </w:footnote>
  <w:footnote w:id="27">
    <w:p w14:paraId="70839A8A" w14:textId="01431A62" w:rsidR="00E71E5B" w:rsidRPr="00A15608" w:rsidRDefault="005E2143" w:rsidP="00087AC0">
      <w:pPr>
        <w:pStyle w:val="FootnoteText"/>
        <w:rPr>
          <w:lang w:val="en-US"/>
        </w:rPr>
      </w:pPr>
      <w:r>
        <w:rPr>
          <w:rStyle w:val="FootnoteReference"/>
        </w:rPr>
        <w:footnoteRef/>
      </w:r>
      <w:r>
        <w:t xml:space="preserve"> </w:t>
      </w:r>
      <w:r>
        <w:rPr>
          <w:lang w:val="en-US"/>
        </w:rPr>
        <w:t>“The Red Barn Murder.”</w:t>
      </w:r>
    </w:p>
  </w:footnote>
  <w:footnote w:id="28">
    <w:p w14:paraId="6C4E3A53" w14:textId="24379BF5" w:rsidR="005E2143" w:rsidRPr="00AC3016" w:rsidRDefault="005E2143" w:rsidP="00087AC0">
      <w:pPr>
        <w:rPr>
          <w:rFonts w:ascii="Times New Roman" w:hAnsi="Times New Roman" w:cs="Times New Roman"/>
        </w:rPr>
      </w:pPr>
      <w:r>
        <w:rPr>
          <w:rStyle w:val="FootnoteReference"/>
        </w:rPr>
        <w:footnoteRef/>
      </w:r>
      <w:r>
        <w:t xml:space="preserve"> </w:t>
      </w:r>
      <w:r w:rsidRPr="00AC3016">
        <w:rPr>
          <w:rFonts w:ascii="Times New Roman" w:hAnsi="Times New Roman" w:cs="Times New Roman"/>
        </w:rPr>
        <w:t xml:space="preserve">Diane M. Davidson, “The bastardy controversy of nineteenth-century Britain.” (PhD </w:t>
      </w:r>
      <w:r>
        <w:rPr>
          <w:rFonts w:ascii="Times New Roman" w:hAnsi="Times New Roman" w:cs="Times New Roman"/>
        </w:rPr>
        <w:t>diss., Lehigh University, 1982)</w:t>
      </w:r>
      <w:proofErr w:type="gramStart"/>
      <w:r>
        <w:rPr>
          <w:rFonts w:ascii="Times New Roman" w:hAnsi="Times New Roman" w:cs="Times New Roman"/>
        </w:rPr>
        <w:t>, 26.</w:t>
      </w:r>
      <w:proofErr w:type="gramEnd"/>
    </w:p>
  </w:footnote>
  <w:footnote w:id="29">
    <w:p w14:paraId="03CC8404" w14:textId="0657D8E7" w:rsidR="00E71E5B" w:rsidRPr="00087AC0" w:rsidRDefault="005E2143" w:rsidP="00087AC0">
      <w:pPr>
        <w:rPr>
          <w:rFonts w:ascii="Times New Roman" w:hAnsi="Times New Roman" w:cs="Times New Roman"/>
        </w:rPr>
      </w:pPr>
      <w:r>
        <w:rPr>
          <w:rStyle w:val="FootnoteReference"/>
        </w:rPr>
        <w:footnoteRef/>
      </w:r>
      <w:r>
        <w:t xml:space="preserve"> </w:t>
      </w:r>
      <w:proofErr w:type="gramStart"/>
      <w:r w:rsidRPr="00AC3016">
        <w:rPr>
          <w:rFonts w:ascii="Times New Roman" w:hAnsi="Times New Roman" w:cs="Times New Roman"/>
        </w:rPr>
        <w:t>Davidson, “The bastardy controversy</w:t>
      </w:r>
      <w:r>
        <w:rPr>
          <w:rFonts w:ascii="Times New Roman" w:hAnsi="Times New Roman" w:cs="Times New Roman"/>
        </w:rPr>
        <w:t>,</w:t>
      </w:r>
      <w:r w:rsidRPr="00AC3016">
        <w:rPr>
          <w:rFonts w:ascii="Times New Roman" w:hAnsi="Times New Roman" w:cs="Times New Roman"/>
        </w:rPr>
        <w:t>”</w:t>
      </w:r>
      <w:r>
        <w:rPr>
          <w:rFonts w:ascii="Times New Roman" w:hAnsi="Times New Roman" w:cs="Times New Roman"/>
        </w:rPr>
        <w:t xml:space="preserve"> 28.</w:t>
      </w:r>
      <w:proofErr w:type="gramEnd"/>
    </w:p>
  </w:footnote>
  <w:footnote w:id="30">
    <w:p w14:paraId="6B6E5B70" w14:textId="7EF37929" w:rsidR="005E2143" w:rsidRPr="00BC0542" w:rsidRDefault="005E2143" w:rsidP="00BC0542">
      <w:pPr>
        <w:rPr>
          <w:rFonts w:ascii="Times New Roman" w:hAnsi="Times New Roman" w:cs="Times New Roman"/>
        </w:rPr>
      </w:pPr>
      <w:r>
        <w:rPr>
          <w:rStyle w:val="FootnoteReference"/>
        </w:rPr>
        <w:footnoteRef/>
      </w:r>
      <w:r>
        <w:t xml:space="preserve"> </w:t>
      </w:r>
      <w:proofErr w:type="gramStart"/>
      <w:r w:rsidRPr="00087AC0">
        <w:rPr>
          <w:rFonts w:ascii="Times New Roman" w:hAnsi="Times New Roman" w:cs="Times New Roman"/>
        </w:rPr>
        <w:t>Davidson, “The bastardy controversy</w:t>
      </w:r>
      <w:r>
        <w:rPr>
          <w:rFonts w:ascii="Times New Roman" w:hAnsi="Times New Roman" w:cs="Times New Roman"/>
        </w:rPr>
        <w:t>,” 31.</w:t>
      </w:r>
      <w:proofErr w:type="gramEnd"/>
    </w:p>
  </w:footnote>
  <w:footnote w:id="31">
    <w:p w14:paraId="57F145DF" w14:textId="7328CB57" w:rsidR="00E71E5B" w:rsidRPr="00FC28D2" w:rsidRDefault="005E2143" w:rsidP="00377315">
      <w:pPr>
        <w:rPr>
          <w:rFonts w:ascii="Times New Roman" w:hAnsi="Times New Roman" w:cs="Times New Roman"/>
        </w:rPr>
      </w:pPr>
      <w:r>
        <w:rPr>
          <w:rStyle w:val="FootnoteReference"/>
        </w:rPr>
        <w:footnoteRef/>
      </w:r>
      <w:r>
        <w:t xml:space="preserve"> </w:t>
      </w:r>
      <w:proofErr w:type="gramStart"/>
      <w:r w:rsidRPr="008670CC">
        <w:rPr>
          <w:rFonts w:ascii="Times New Roman" w:hAnsi="Times New Roman" w:cs="Times New Roman"/>
        </w:rPr>
        <w:t>Davidson, “The bastardy controversy</w:t>
      </w:r>
      <w:r>
        <w:rPr>
          <w:rFonts w:ascii="Times New Roman" w:hAnsi="Times New Roman" w:cs="Times New Roman"/>
        </w:rPr>
        <w:t>,” 32.</w:t>
      </w:r>
      <w:proofErr w:type="gramEnd"/>
    </w:p>
  </w:footnote>
  <w:footnote w:id="32">
    <w:p w14:paraId="5E127399" w14:textId="7F0DC17E" w:rsidR="00E71E5B" w:rsidRPr="00FC28D2" w:rsidRDefault="005E2143" w:rsidP="00377315">
      <w:pPr>
        <w:pStyle w:val="FootnoteText"/>
        <w:rPr>
          <w:lang w:val="en-US"/>
        </w:rPr>
      </w:pPr>
      <w:r>
        <w:rPr>
          <w:rStyle w:val="FootnoteReference"/>
        </w:rPr>
        <w:footnoteRef/>
      </w:r>
      <w:r>
        <w:t xml:space="preserve"> </w:t>
      </w:r>
      <w:proofErr w:type="gramStart"/>
      <w:r>
        <w:rPr>
          <w:lang w:val="en-US"/>
        </w:rPr>
        <w:t>Macfarlane, “Illegitimacy and illegitimates”, 76.</w:t>
      </w:r>
      <w:proofErr w:type="gramEnd"/>
    </w:p>
  </w:footnote>
  <w:footnote w:id="33">
    <w:p w14:paraId="58E1ABE5" w14:textId="620523A0" w:rsidR="005E2143" w:rsidRPr="00377315" w:rsidRDefault="005E2143" w:rsidP="00377315">
      <w:r>
        <w:rPr>
          <w:rStyle w:val="FootnoteReference"/>
        </w:rPr>
        <w:footnoteRef/>
      </w:r>
      <w:r>
        <w:t xml:space="preserve"> </w:t>
      </w:r>
      <w:proofErr w:type="gramStart"/>
      <w:r>
        <w:t xml:space="preserve">Walsh, </w:t>
      </w:r>
      <w:r w:rsidRPr="007803A5">
        <w:rPr>
          <w:i/>
        </w:rPr>
        <w:t xml:space="preserve">Domestic Murder, </w:t>
      </w:r>
      <w:r>
        <w:t>40.</w:t>
      </w:r>
      <w:proofErr w:type="gramEnd"/>
    </w:p>
  </w:footnote>
  <w:footnote w:id="34">
    <w:p w14:paraId="1F5524F2" w14:textId="38004F6A" w:rsidR="005E2143" w:rsidRPr="00BC0542" w:rsidRDefault="005E2143" w:rsidP="00BC0542">
      <w:r>
        <w:rPr>
          <w:rStyle w:val="FootnoteReference"/>
        </w:rPr>
        <w:footnoteRef/>
      </w:r>
      <w:r>
        <w:t xml:space="preserve"> </w:t>
      </w:r>
      <w:proofErr w:type="gramStart"/>
      <w:r>
        <w:t xml:space="preserve">Walsh, </w:t>
      </w:r>
      <w:r w:rsidRPr="00377315">
        <w:rPr>
          <w:i/>
        </w:rPr>
        <w:t xml:space="preserve">Domestic Murder, </w:t>
      </w:r>
      <w:r>
        <w:t>49.</w:t>
      </w:r>
      <w:proofErr w:type="gramEnd"/>
    </w:p>
  </w:footnote>
  <w:footnote w:id="35">
    <w:p w14:paraId="04E98A87" w14:textId="4DC50D83" w:rsidR="00E71E5B" w:rsidRPr="006A3EAD" w:rsidRDefault="005E2143" w:rsidP="001C3143">
      <w:r>
        <w:rPr>
          <w:rStyle w:val="FootnoteReference"/>
        </w:rPr>
        <w:footnoteRef/>
      </w:r>
      <w:r>
        <w:t xml:space="preserve"> </w:t>
      </w:r>
      <w:proofErr w:type="gramStart"/>
      <w:r>
        <w:t xml:space="preserve">Walsh, </w:t>
      </w:r>
      <w:r w:rsidRPr="001D3919">
        <w:rPr>
          <w:i/>
        </w:rPr>
        <w:t xml:space="preserve">Domestic Murder, </w:t>
      </w:r>
      <w:r>
        <w:t>1.</w:t>
      </w:r>
      <w:proofErr w:type="gramEnd"/>
    </w:p>
  </w:footnote>
  <w:footnote w:id="36">
    <w:p w14:paraId="0E741DA2" w14:textId="1BA4357B" w:rsidR="00E71E5B" w:rsidRPr="001C3143" w:rsidRDefault="005E2143" w:rsidP="00B63100">
      <w:r>
        <w:rPr>
          <w:rStyle w:val="FootnoteReference"/>
        </w:rPr>
        <w:footnoteRef/>
      </w:r>
      <w:r>
        <w:t xml:space="preserve"> </w:t>
      </w:r>
      <w:proofErr w:type="gramStart"/>
      <w:r>
        <w:t xml:space="preserve">Walsh, </w:t>
      </w:r>
      <w:r w:rsidRPr="006A3EAD">
        <w:rPr>
          <w:i/>
        </w:rPr>
        <w:t xml:space="preserve">Domestic Murder, </w:t>
      </w:r>
      <w:r>
        <w:t>40.</w:t>
      </w:r>
      <w:proofErr w:type="gramEnd"/>
    </w:p>
  </w:footnote>
  <w:footnote w:id="37">
    <w:p w14:paraId="723E18B1" w14:textId="556433BD" w:rsidR="005E2143" w:rsidRPr="00B63100" w:rsidRDefault="005E2143" w:rsidP="00061562">
      <w:r>
        <w:rPr>
          <w:rStyle w:val="FootnoteReference"/>
        </w:rPr>
        <w:footnoteRef/>
      </w:r>
      <w:r>
        <w:t xml:space="preserve"> Maunder and Moore, </w:t>
      </w:r>
      <w:r w:rsidRPr="001C3143">
        <w:rPr>
          <w:i/>
        </w:rPr>
        <w:t xml:space="preserve">Victorian Crime, </w:t>
      </w:r>
      <w:r>
        <w:t>5.</w:t>
      </w:r>
    </w:p>
  </w:footnote>
  <w:footnote w:id="38">
    <w:p w14:paraId="17A1995C" w14:textId="05A46FD3" w:rsidR="00E71E5B" w:rsidRPr="00061562" w:rsidRDefault="005E2143" w:rsidP="00A610E1">
      <w:r>
        <w:rPr>
          <w:rStyle w:val="FootnoteReference"/>
        </w:rPr>
        <w:footnoteRef/>
      </w:r>
      <w:r>
        <w:t xml:space="preserve"> Maunder and Moore, </w:t>
      </w:r>
      <w:r w:rsidRPr="00B63100">
        <w:rPr>
          <w:i/>
        </w:rPr>
        <w:t xml:space="preserve">Victorian Crime, </w:t>
      </w:r>
      <w:r>
        <w:t>6.</w:t>
      </w:r>
    </w:p>
  </w:footnote>
  <w:footnote w:id="39">
    <w:p w14:paraId="2D85192B" w14:textId="1062B7B7" w:rsidR="00E71E5B" w:rsidRPr="00A610E1" w:rsidRDefault="005E2143" w:rsidP="00A610E1">
      <w:r>
        <w:rPr>
          <w:rStyle w:val="FootnoteReference"/>
        </w:rPr>
        <w:footnoteRef/>
      </w:r>
      <w:r>
        <w:t xml:space="preserve"> Maunder and Moore, </w:t>
      </w:r>
      <w:r w:rsidRPr="00061562">
        <w:rPr>
          <w:i/>
        </w:rPr>
        <w:t xml:space="preserve">Victorian Crime, </w:t>
      </w:r>
      <w:r>
        <w:t>1.</w:t>
      </w:r>
    </w:p>
  </w:footnote>
  <w:footnote w:id="40">
    <w:p w14:paraId="662349AE" w14:textId="58044CBA" w:rsidR="00E71E5B" w:rsidRPr="00BC0542" w:rsidRDefault="005E2143" w:rsidP="00A610E1">
      <w:pPr>
        <w:pStyle w:val="FootnoteText"/>
      </w:pPr>
      <w:r>
        <w:rPr>
          <w:rStyle w:val="FootnoteReference"/>
        </w:rPr>
        <w:footnoteRef/>
      </w:r>
      <w:r>
        <w:t xml:space="preserve"> </w:t>
      </w:r>
      <w:proofErr w:type="gramStart"/>
      <w:r>
        <w:t xml:space="preserve">Walsh, </w:t>
      </w:r>
      <w:r>
        <w:rPr>
          <w:i/>
        </w:rPr>
        <w:t xml:space="preserve">Domestic Murder, </w:t>
      </w:r>
      <w:r>
        <w:t>50.</w:t>
      </w:r>
      <w:proofErr w:type="gramEnd"/>
    </w:p>
  </w:footnote>
  <w:footnote w:id="41">
    <w:p w14:paraId="72CE87DA" w14:textId="362E9497" w:rsidR="00E71E5B" w:rsidRPr="00120CC7" w:rsidRDefault="005E2143" w:rsidP="00E069DF">
      <w:pPr>
        <w:pStyle w:val="FootnoteText"/>
        <w:rPr>
          <w:lang w:val="en-US"/>
        </w:rPr>
      </w:pPr>
      <w:r>
        <w:rPr>
          <w:rStyle w:val="FootnoteReference"/>
        </w:rPr>
        <w:footnoteRef/>
      </w:r>
      <w:r>
        <w:t xml:space="preserve"> </w:t>
      </w:r>
      <w:proofErr w:type="gramStart"/>
      <w:r>
        <w:rPr>
          <w:lang w:val="en-US"/>
        </w:rPr>
        <w:t xml:space="preserve">Walsh, </w:t>
      </w:r>
      <w:r>
        <w:rPr>
          <w:i/>
          <w:lang w:val="en-US"/>
        </w:rPr>
        <w:t xml:space="preserve">Domestic Murder, </w:t>
      </w:r>
      <w:r>
        <w:rPr>
          <w:lang w:val="en-US"/>
        </w:rPr>
        <w:t>16.</w:t>
      </w:r>
      <w:proofErr w:type="gramEnd"/>
    </w:p>
  </w:footnote>
  <w:footnote w:id="42">
    <w:p w14:paraId="783EA8C2" w14:textId="340725AB" w:rsidR="00E71E5B" w:rsidRPr="004D022D" w:rsidRDefault="005E2143" w:rsidP="00E069DF">
      <w:pPr>
        <w:pStyle w:val="FootnoteText"/>
        <w:rPr>
          <w:lang w:val="en-US"/>
        </w:rPr>
      </w:pPr>
      <w:r>
        <w:rPr>
          <w:rStyle w:val="FootnoteReference"/>
        </w:rPr>
        <w:footnoteRef/>
      </w:r>
      <w:r>
        <w:t xml:space="preserve"> </w:t>
      </w:r>
      <w:proofErr w:type="gramStart"/>
      <w:r>
        <w:rPr>
          <w:lang w:val="en-US"/>
        </w:rPr>
        <w:t xml:space="preserve">Walsh, </w:t>
      </w:r>
      <w:r>
        <w:rPr>
          <w:i/>
          <w:lang w:val="en-US"/>
        </w:rPr>
        <w:t xml:space="preserve">Domestic Murder, </w:t>
      </w:r>
      <w:r>
        <w:rPr>
          <w:lang w:val="en-US"/>
        </w:rPr>
        <w:t>49.</w:t>
      </w:r>
      <w:proofErr w:type="gramEnd"/>
    </w:p>
  </w:footnote>
  <w:footnote w:id="43">
    <w:p w14:paraId="17247739" w14:textId="113CEF89" w:rsidR="00A064BE" w:rsidRPr="00E069DF" w:rsidRDefault="004A591B" w:rsidP="00E069DF">
      <w:r>
        <w:rPr>
          <w:rStyle w:val="FootnoteReference"/>
        </w:rPr>
        <w:footnoteRef/>
      </w:r>
      <w:r>
        <w:t xml:space="preserve"> Maunder and Moore, </w:t>
      </w:r>
      <w:r w:rsidRPr="004A591B">
        <w:rPr>
          <w:i/>
        </w:rPr>
        <w:t xml:space="preserve">Victorian Crime, </w:t>
      </w:r>
      <w:r>
        <w:t>45.</w:t>
      </w:r>
    </w:p>
  </w:footnote>
  <w:footnote w:id="44">
    <w:p w14:paraId="6CFE8AA3" w14:textId="69BE0926" w:rsidR="00A064BE" w:rsidRPr="00414845" w:rsidRDefault="00E069DF" w:rsidP="00341CA9">
      <w:r>
        <w:rPr>
          <w:rStyle w:val="FootnoteReference"/>
        </w:rPr>
        <w:footnoteRef/>
      </w:r>
      <w:r>
        <w:t xml:space="preserve"> Maunder and Moore, </w:t>
      </w:r>
      <w:r w:rsidRPr="00E069DF">
        <w:rPr>
          <w:i/>
        </w:rPr>
        <w:t xml:space="preserve">Victorian Crime, </w:t>
      </w:r>
      <w:r>
        <w:t>46.</w:t>
      </w:r>
    </w:p>
  </w:footnote>
  <w:footnote w:id="45">
    <w:p w14:paraId="7C19939C" w14:textId="3A71E15A" w:rsidR="00A064BE" w:rsidRPr="00DD6DEA" w:rsidRDefault="00414845" w:rsidP="00341CA9">
      <w:r>
        <w:rPr>
          <w:rStyle w:val="FootnoteReference"/>
        </w:rPr>
        <w:footnoteRef/>
      </w:r>
      <w:r>
        <w:t xml:space="preserve"> </w:t>
      </w:r>
      <w:proofErr w:type="spellStart"/>
      <w:proofErr w:type="gramStart"/>
      <w:r>
        <w:t>Donal</w:t>
      </w:r>
      <w:proofErr w:type="spellEnd"/>
      <w:r>
        <w:t xml:space="preserve"> Ó </w:t>
      </w:r>
      <w:proofErr w:type="spellStart"/>
      <w:r>
        <w:t>Danachair</w:t>
      </w:r>
      <w:proofErr w:type="spellEnd"/>
      <w:r>
        <w:t xml:space="preserve">, </w:t>
      </w:r>
      <w:r w:rsidRPr="00414845">
        <w:rPr>
          <w:i/>
        </w:rPr>
        <w:t>The Newgate Calendar, Volume 1.</w:t>
      </w:r>
      <w:proofErr w:type="gramEnd"/>
      <w:r w:rsidRPr="00414845">
        <w:rPr>
          <w:i/>
        </w:rPr>
        <w:t xml:space="preserve"> </w:t>
      </w:r>
      <w:r>
        <w:t>(Ex-classics Project, 2009)</w:t>
      </w:r>
      <w:proofErr w:type="gramStart"/>
      <w:r>
        <w:t>, 11.</w:t>
      </w:r>
      <w:proofErr w:type="gramEnd"/>
    </w:p>
  </w:footnote>
  <w:footnote w:id="46">
    <w:p w14:paraId="7C40C65F" w14:textId="3DDF1EC6" w:rsidR="00A064BE" w:rsidRPr="00341CA9" w:rsidRDefault="00DD6DEA" w:rsidP="00341CA9">
      <w:r>
        <w:rPr>
          <w:rStyle w:val="FootnoteReference"/>
        </w:rPr>
        <w:footnoteRef/>
      </w:r>
      <w:r>
        <w:t xml:space="preserve"> </w:t>
      </w:r>
      <w:proofErr w:type="spellStart"/>
      <w:proofErr w:type="gramStart"/>
      <w:r>
        <w:t>Danachair</w:t>
      </w:r>
      <w:proofErr w:type="spellEnd"/>
      <w:r>
        <w:t xml:space="preserve">, </w:t>
      </w:r>
      <w:r w:rsidRPr="00DD6DEA">
        <w:rPr>
          <w:i/>
        </w:rPr>
        <w:t xml:space="preserve">The Newgate Calendar, </w:t>
      </w:r>
      <w:r>
        <w:t>10.</w:t>
      </w:r>
      <w:proofErr w:type="gramEnd"/>
    </w:p>
  </w:footnote>
  <w:footnote w:id="47">
    <w:p w14:paraId="4716B994" w14:textId="49F481F7" w:rsidR="00341CA9" w:rsidRDefault="00341CA9" w:rsidP="00341CA9">
      <w:r>
        <w:rPr>
          <w:rStyle w:val="FootnoteReference"/>
        </w:rPr>
        <w:footnoteRef/>
      </w:r>
      <w:r>
        <w:t xml:space="preserve"> Andrew Knapp and William Baldwin, </w:t>
      </w:r>
      <w:proofErr w:type="gramStart"/>
      <w:r>
        <w:t>eds</w:t>
      </w:r>
      <w:proofErr w:type="gramEnd"/>
      <w:r>
        <w:t xml:space="preserve">. </w:t>
      </w:r>
      <w:proofErr w:type="gramStart"/>
      <w:r w:rsidRPr="00341CA9">
        <w:rPr>
          <w:i/>
        </w:rPr>
        <w:t>The Newgate Calendar; Comprising Interesting Memoirs of Most Notorious Characters who have been Convicted of Outrages on…Volume 1.</w:t>
      </w:r>
      <w:proofErr w:type="gramEnd"/>
      <w:r w:rsidRPr="00341CA9">
        <w:rPr>
          <w:i/>
        </w:rPr>
        <w:t xml:space="preserve"> </w:t>
      </w:r>
      <w:r>
        <w:t>(London: J. Robins and Co., 1824)</w:t>
      </w:r>
      <w:proofErr w:type="gramStart"/>
      <w:r>
        <w:t>, 17.</w:t>
      </w:r>
      <w:proofErr w:type="gramEnd"/>
    </w:p>
    <w:p w14:paraId="64ECA14C" w14:textId="210B211E" w:rsidR="00341CA9" w:rsidRPr="00341CA9" w:rsidRDefault="00341CA9">
      <w:pPr>
        <w:pStyle w:val="FootnoteText"/>
        <w:rPr>
          <w:lang w:val="en-US"/>
        </w:rPr>
      </w:pPr>
    </w:p>
  </w:footnote>
  <w:footnote w:id="48">
    <w:p w14:paraId="5C0730B5" w14:textId="33AC6D0B" w:rsidR="00A064BE" w:rsidRPr="00352516" w:rsidRDefault="007709D3" w:rsidP="00885373">
      <w:r>
        <w:rPr>
          <w:rStyle w:val="FootnoteReference"/>
        </w:rPr>
        <w:footnoteRef/>
      </w:r>
      <w:r>
        <w:t xml:space="preserve"> </w:t>
      </w:r>
      <w:proofErr w:type="gramStart"/>
      <w:r>
        <w:t xml:space="preserve">Walsh, </w:t>
      </w:r>
      <w:r w:rsidRPr="007709D3">
        <w:rPr>
          <w:i/>
        </w:rPr>
        <w:t xml:space="preserve">Domestic Murder, </w:t>
      </w:r>
      <w:r>
        <w:t>15.</w:t>
      </w:r>
      <w:proofErr w:type="gramEnd"/>
    </w:p>
  </w:footnote>
  <w:footnote w:id="49">
    <w:p w14:paraId="3E6F0DEC" w14:textId="5B6665FE" w:rsidR="00352516" w:rsidRPr="00FD06B7" w:rsidRDefault="00352516" w:rsidP="00885373">
      <w:r>
        <w:rPr>
          <w:rStyle w:val="FootnoteReference"/>
        </w:rPr>
        <w:footnoteRef/>
      </w:r>
      <w:r>
        <w:t xml:space="preserve"> </w:t>
      </w:r>
      <w:proofErr w:type="gramStart"/>
      <w:r>
        <w:t xml:space="preserve">Walsh, </w:t>
      </w:r>
      <w:r w:rsidRPr="00352516">
        <w:rPr>
          <w:i/>
        </w:rPr>
        <w:t xml:space="preserve">Domestic Murder, </w:t>
      </w:r>
      <w:r>
        <w:t>16.</w:t>
      </w:r>
      <w:proofErr w:type="gramEnd"/>
    </w:p>
  </w:footnote>
  <w:footnote w:id="50">
    <w:p w14:paraId="16DD1057" w14:textId="78E01409" w:rsidR="00E71E5B" w:rsidRPr="00885373" w:rsidRDefault="00FD06B7" w:rsidP="00885373">
      <w:r>
        <w:rPr>
          <w:rStyle w:val="FootnoteReference"/>
        </w:rPr>
        <w:footnoteRef/>
      </w:r>
      <w:r>
        <w:t xml:space="preserve"> “The Murder at </w:t>
      </w:r>
      <w:proofErr w:type="spellStart"/>
      <w:r>
        <w:t>Polstead</w:t>
      </w:r>
      <w:proofErr w:type="spellEnd"/>
      <w:r>
        <w:t xml:space="preserve">,” </w:t>
      </w:r>
      <w:r w:rsidRPr="00FD06B7">
        <w:rPr>
          <w:i/>
        </w:rPr>
        <w:t>The Times</w:t>
      </w:r>
      <w:r>
        <w:t xml:space="preserve">, May 1, 1828. </w:t>
      </w:r>
    </w:p>
  </w:footnote>
  <w:footnote w:id="51">
    <w:p w14:paraId="39C8A8CE" w14:textId="48F5F73C" w:rsidR="00E71E5B" w:rsidRPr="00525566" w:rsidRDefault="00885373" w:rsidP="00885373">
      <w:pPr>
        <w:pStyle w:val="FootnoteText"/>
      </w:pPr>
      <w:r>
        <w:rPr>
          <w:rStyle w:val="FootnoteReference"/>
        </w:rPr>
        <w:footnoteRef/>
      </w:r>
      <w:r>
        <w:t xml:space="preserve"> “The Red Barn Murder.”</w:t>
      </w:r>
    </w:p>
  </w:footnote>
  <w:footnote w:id="52">
    <w:p w14:paraId="07D39F84" w14:textId="67ABE826" w:rsidR="009B0B12" w:rsidRPr="00525566" w:rsidRDefault="009B0B12" w:rsidP="00525566">
      <w:pPr>
        <w:spacing w:line="480" w:lineRule="auto"/>
      </w:pPr>
      <w:r>
        <w:rPr>
          <w:rStyle w:val="FootnoteReference"/>
        </w:rPr>
        <w:footnoteRef/>
      </w:r>
      <w:r>
        <w:t xml:space="preserve"> Curtis, </w:t>
      </w:r>
      <w:r w:rsidRPr="009B0B12">
        <w:rPr>
          <w:i/>
        </w:rPr>
        <w:t>An Authentic and Faithful History</w:t>
      </w:r>
      <w:r>
        <w:t>, 56.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C093" w14:textId="77777777" w:rsidR="005E2143" w:rsidRDefault="005E2143" w:rsidP="00087B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76B57" w14:textId="77777777" w:rsidR="005E2143" w:rsidRDefault="005E2143" w:rsidP="007F75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0B1E" w14:textId="00F1096C" w:rsidR="005E2143" w:rsidRDefault="005E2143" w:rsidP="00B5090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361DFF">
      <w:rPr>
        <w:rStyle w:val="PageNumber"/>
        <w:noProof/>
      </w:rPr>
      <w:t>1</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650B6" w14:textId="77777777" w:rsidR="005E2143" w:rsidRDefault="005E2143" w:rsidP="00922E6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1AC"/>
    <w:multiLevelType w:val="hybridMultilevel"/>
    <w:tmpl w:val="3D7E92D0"/>
    <w:lvl w:ilvl="0" w:tplc="A05EBB4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37120"/>
    <w:multiLevelType w:val="hybridMultilevel"/>
    <w:tmpl w:val="28B4C7F4"/>
    <w:lvl w:ilvl="0" w:tplc="0B68D65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72475"/>
    <w:multiLevelType w:val="hybridMultilevel"/>
    <w:tmpl w:val="655E33EC"/>
    <w:lvl w:ilvl="0" w:tplc="6BDC66D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B441B5"/>
    <w:multiLevelType w:val="hybridMultilevel"/>
    <w:tmpl w:val="AD5A0740"/>
    <w:lvl w:ilvl="0" w:tplc="AB8EF85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1C5910"/>
    <w:multiLevelType w:val="hybridMultilevel"/>
    <w:tmpl w:val="E46244B4"/>
    <w:lvl w:ilvl="0" w:tplc="84C639E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7465C3"/>
    <w:multiLevelType w:val="hybridMultilevel"/>
    <w:tmpl w:val="81D8C708"/>
    <w:lvl w:ilvl="0" w:tplc="965CAAE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2674A2"/>
    <w:multiLevelType w:val="hybridMultilevel"/>
    <w:tmpl w:val="9E1C30CA"/>
    <w:lvl w:ilvl="0" w:tplc="3B5CB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BE1B27"/>
    <w:multiLevelType w:val="hybridMultilevel"/>
    <w:tmpl w:val="2C644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C5B14"/>
    <w:multiLevelType w:val="hybridMultilevel"/>
    <w:tmpl w:val="D6589C3A"/>
    <w:lvl w:ilvl="0" w:tplc="2B78E1D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3B3FA8"/>
    <w:multiLevelType w:val="hybridMultilevel"/>
    <w:tmpl w:val="C6C4FFBA"/>
    <w:lvl w:ilvl="0" w:tplc="329E3CF4">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6D171C"/>
    <w:multiLevelType w:val="hybridMultilevel"/>
    <w:tmpl w:val="FEE077F4"/>
    <w:lvl w:ilvl="0" w:tplc="97066764">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0870A4"/>
    <w:multiLevelType w:val="hybridMultilevel"/>
    <w:tmpl w:val="2646BD7E"/>
    <w:lvl w:ilvl="0" w:tplc="4D5E723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7B0943"/>
    <w:multiLevelType w:val="hybridMultilevel"/>
    <w:tmpl w:val="EABCDE52"/>
    <w:lvl w:ilvl="0" w:tplc="CC2A0DCE">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E20917"/>
    <w:multiLevelType w:val="hybridMultilevel"/>
    <w:tmpl w:val="94608C94"/>
    <w:lvl w:ilvl="0" w:tplc="AD88C43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077D65"/>
    <w:multiLevelType w:val="hybridMultilevel"/>
    <w:tmpl w:val="6B7CEF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0"/>
  </w:num>
  <w:num w:numId="5">
    <w:abstractNumId w:val="14"/>
  </w:num>
  <w:num w:numId="6">
    <w:abstractNumId w:val="11"/>
  </w:num>
  <w:num w:numId="7">
    <w:abstractNumId w:val="2"/>
  </w:num>
  <w:num w:numId="8">
    <w:abstractNumId w:val="1"/>
  </w:num>
  <w:num w:numId="9">
    <w:abstractNumId w:val="12"/>
  </w:num>
  <w:num w:numId="10">
    <w:abstractNumId w:val="5"/>
  </w:num>
  <w:num w:numId="11">
    <w:abstractNumId w:val="4"/>
  </w:num>
  <w:num w:numId="12">
    <w:abstractNumId w:val="0"/>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26"/>
    <w:rsid w:val="00037F00"/>
    <w:rsid w:val="00061562"/>
    <w:rsid w:val="00087AC0"/>
    <w:rsid w:val="00087BC7"/>
    <w:rsid w:val="000C1806"/>
    <w:rsid w:val="000D79F0"/>
    <w:rsid w:val="000F0896"/>
    <w:rsid w:val="00103103"/>
    <w:rsid w:val="00120CC7"/>
    <w:rsid w:val="00146A07"/>
    <w:rsid w:val="00153FE0"/>
    <w:rsid w:val="001630DE"/>
    <w:rsid w:val="0019255C"/>
    <w:rsid w:val="001B60F6"/>
    <w:rsid w:val="001C3143"/>
    <w:rsid w:val="001D2BEC"/>
    <w:rsid w:val="001D3919"/>
    <w:rsid w:val="001E0018"/>
    <w:rsid w:val="00204161"/>
    <w:rsid w:val="00207126"/>
    <w:rsid w:val="00210E5E"/>
    <w:rsid w:val="00224C95"/>
    <w:rsid w:val="0025183E"/>
    <w:rsid w:val="00255819"/>
    <w:rsid w:val="002B01A1"/>
    <w:rsid w:val="002C0B76"/>
    <w:rsid w:val="003009F7"/>
    <w:rsid w:val="0030368F"/>
    <w:rsid w:val="0031696D"/>
    <w:rsid w:val="00341CA9"/>
    <w:rsid w:val="00345A46"/>
    <w:rsid w:val="00352516"/>
    <w:rsid w:val="00361DFF"/>
    <w:rsid w:val="00362BCA"/>
    <w:rsid w:val="0037346A"/>
    <w:rsid w:val="00377315"/>
    <w:rsid w:val="00377F5C"/>
    <w:rsid w:val="003966D3"/>
    <w:rsid w:val="00397450"/>
    <w:rsid w:val="003A3F38"/>
    <w:rsid w:val="003D239D"/>
    <w:rsid w:val="003D3E2A"/>
    <w:rsid w:val="003E2C29"/>
    <w:rsid w:val="004112D6"/>
    <w:rsid w:val="00411822"/>
    <w:rsid w:val="00411AD7"/>
    <w:rsid w:val="00412475"/>
    <w:rsid w:val="00414845"/>
    <w:rsid w:val="00414AAD"/>
    <w:rsid w:val="0041648F"/>
    <w:rsid w:val="004546D1"/>
    <w:rsid w:val="00456995"/>
    <w:rsid w:val="00460538"/>
    <w:rsid w:val="00475AFE"/>
    <w:rsid w:val="004A591B"/>
    <w:rsid w:val="004B11B5"/>
    <w:rsid w:val="004D022D"/>
    <w:rsid w:val="004E52AF"/>
    <w:rsid w:val="004E7BF6"/>
    <w:rsid w:val="004F0DDA"/>
    <w:rsid w:val="00500AAA"/>
    <w:rsid w:val="00507DED"/>
    <w:rsid w:val="00507E2A"/>
    <w:rsid w:val="00520438"/>
    <w:rsid w:val="00525566"/>
    <w:rsid w:val="00533728"/>
    <w:rsid w:val="00537F50"/>
    <w:rsid w:val="00541159"/>
    <w:rsid w:val="00542D7D"/>
    <w:rsid w:val="005451AA"/>
    <w:rsid w:val="00553556"/>
    <w:rsid w:val="0055454E"/>
    <w:rsid w:val="00567912"/>
    <w:rsid w:val="0058365C"/>
    <w:rsid w:val="0059025C"/>
    <w:rsid w:val="00591D00"/>
    <w:rsid w:val="005B2328"/>
    <w:rsid w:val="005B7B38"/>
    <w:rsid w:val="005C34E3"/>
    <w:rsid w:val="005E04D0"/>
    <w:rsid w:val="005E2143"/>
    <w:rsid w:val="005E5D24"/>
    <w:rsid w:val="005F6B64"/>
    <w:rsid w:val="006324D7"/>
    <w:rsid w:val="006406A6"/>
    <w:rsid w:val="00644388"/>
    <w:rsid w:val="0068165F"/>
    <w:rsid w:val="006A333B"/>
    <w:rsid w:val="006A3EAD"/>
    <w:rsid w:val="006C0E0A"/>
    <w:rsid w:val="006E3C4F"/>
    <w:rsid w:val="006E4E08"/>
    <w:rsid w:val="00700095"/>
    <w:rsid w:val="00706D77"/>
    <w:rsid w:val="0075353B"/>
    <w:rsid w:val="00763E29"/>
    <w:rsid w:val="00764A10"/>
    <w:rsid w:val="00767609"/>
    <w:rsid w:val="007709D3"/>
    <w:rsid w:val="00772198"/>
    <w:rsid w:val="007803A5"/>
    <w:rsid w:val="007A1C83"/>
    <w:rsid w:val="007A1E4A"/>
    <w:rsid w:val="007A3482"/>
    <w:rsid w:val="007A7416"/>
    <w:rsid w:val="007B0186"/>
    <w:rsid w:val="007E68DA"/>
    <w:rsid w:val="007F75E1"/>
    <w:rsid w:val="008027CB"/>
    <w:rsid w:val="00807C83"/>
    <w:rsid w:val="008274A5"/>
    <w:rsid w:val="00831527"/>
    <w:rsid w:val="00833512"/>
    <w:rsid w:val="00835995"/>
    <w:rsid w:val="00842037"/>
    <w:rsid w:val="00851E27"/>
    <w:rsid w:val="008670CC"/>
    <w:rsid w:val="00885373"/>
    <w:rsid w:val="00897419"/>
    <w:rsid w:val="008B1F42"/>
    <w:rsid w:val="008B48A8"/>
    <w:rsid w:val="008C669C"/>
    <w:rsid w:val="008D5E44"/>
    <w:rsid w:val="008D5EFF"/>
    <w:rsid w:val="008F0498"/>
    <w:rsid w:val="008F268B"/>
    <w:rsid w:val="00917D90"/>
    <w:rsid w:val="0092108E"/>
    <w:rsid w:val="00922E67"/>
    <w:rsid w:val="00926ACB"/>
    <w:rsid w:val="00930B49"/>
    <w:rsid w:val="00960152"/>
    <w:rsid w:val="00980B77"/>
    <w:rsid w:val="0099718E"/>
    <w:rsid w:val="009B0976"/>
    <w:rsid w:val="009B0B12"/>
    <w:rsid w:val="009C0AD1"/>
    <w:rsid w:val="009E44A0"/>
    <w:rsid w:val="009F127B"/>
    <w:rsid w:val="009F616B"/>
    <w:rsid w:val="00A02D5B"/>
    <w:rsid w:val="00A064BE"/>
    <w:rsid w:val="00A15608"/>
    <w:rsid w:val="00A253E9"/>
    <w:rsid w:val="00A25636"/>
    <w:rsid w:val="00A25E22"/>
    <w:rsid w:val="00A27F42"/>
    <w:rsid w:val="00A3144D"/>
    <w:rsid w:val="00A37C63"/>
    <w:rsid w:val="00A56A74"/>
    <w:rsid w:val="00A610E1"/>
    <w:rsid w:val="00A6300D"/>
    <w:rsid w:val="00AA1A07"/>
    <w:rsid w:val="00AA6E4F"/>
    <w:rsid w:val="00AB20B6"/>
    <w:rsid w:val="00AB5AA1"/>
    <w:rsid w:val="00AB7B3B"/>
    <w:rsid w:val="00AC3016"/>
    <w:rsid w:val="00AF30B1"/>
    <w:rsid w:val="00AF7946"/>
    <w:rsid w:val="00B05D4D"/>
    <w:rsid w:val="00B213B3"/>
    <w:rsid w:val="00B439C6"/>
    <w:rsid w:val="00B46A64"/>
    <w:rsid w:val="00B5090D"/>
    <w:rsid w:val="00B63100"/>
    <w:rsid w:val="00B6722C"/>
    <w:rsid w:val="00B719F7"/>
    <w:rsid w:val="00B75C10"/>
    <w:rsid w:val="00B7746F"/>
    <w:rsid w:val="00B958D2"/>
    <w:rsid w:val="00BA6CBA"/>
    <w:rsid w:val="00BB457C"/>
    <w:rsid w:val="00BB7594"/>
    <w:rsid w:val="00BC00A3"/>
    <w:rsid w:val="00BC0542"/>
    <w:rsid w:val="00C02327"/>
    <w:rsid w:val="00C029B4"/>
    <w:rsid w:val="00C0510F"/>
    <w:rsid w:val="00C11B86"/>
    <w:rsid w:val="00C15180"/>
    <w:rsid w:val="00C24B35"/>
    <w:rsid w:val="00C24C85"/>
    <w:rsid w:val="00C50AF6"/>
    <w:rsid w:val="00C6221D"/>
    <w:rsid w:val="00C809E1"/>
    <w:rsid w:val="00C85E3A"/>
    <w:rsid w:val="00C93125"/>
    <w:rsid w:val="00C931B7"/>
    <w:rsid w:val="00CB34F0"/>
    <w:rsid w:val="00CC083D"/>
    <w:rsid w:val="00CD59AB"/>
    <w:rsid w:val="00CF63E4"/>
    <w:rsid w:val="00D022FF"/>
    <w:rsid w:val="00D063C2"/>
    <w:rsid w:val="00D462F0"/>
    <w:rsid w:val="00D6757B"/>
    <w:rsid w:val="00DB04A9"/>
    <w:rsid w:val="00DB0524"/>
    <w:rsid w:val="00DC4041"/>
    <w:rsid w:val="00DD29C6"/>
    <w:rsid w:val="00DD5682"/>
    <w:rsid w:val="00DD68D4"/>
    <w:rsid w:val="00DD6BC6"/>
    <w:rsid w:val="00DD6DEA"/>
    <w:rsid w:val="00DE610E"/>
    <w:rsid w:val="00E069DF"/>
    <w:rsid w:val="00E1630C"/>
    <w:rsid w:val="00E45F7E"/>
    <w:rsid w:val="00E645A5"/>
    <w:rsid w:val="00E65237"/>
    <w:rsid w:val="00E66A87"/>
    <w:rsid w:val="00E7008A"/>
    <w:rsid w:val="00E71E5B"/>
    <w:rsid w:val="00EA0580"/>
    <w:rsid w:val="00EA23BC"/>
    <w:rsid w:val="00EA2745"/>
    <w:rsid w:val="00EB1690"/>
    <w:rsid w:val="00EE0553"/>
    <w:rsid w:val="00F02973"/>
    <w:rsid w:val="00F056B8"/>
    <w:rsid w:val="00F16C7C"/>
    <w:rsid w:val="00F47AE2"/>
    <w:rsid w:val="00F52B50"/>
    <w:rsid w:val="00F82481"/>
    <w:rsid w:val="00FC28D2"/>
    <w:rsid w:val="00FD06B7"/>
    <w:rsid w:val="00FE0AD1"/>
    <w:rsid w:val="00FE7F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386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4F"/>
    <w:pPr>
      <w:ind w:left="720"/>
      <w:contextualSpacing/>
    </w:pPr>
  </w:style>
  <w:style w:type="paragraph" w:styleId="Header">
    <w:name w:val="header"/>
    <w:basedOn w:val="Normal"/>
    <w:link w:val="HeaderChar"/>
    <w:uiPriority w:val="99"/>
    <w:unhideWhenUsed/>
    <w:rsid w:val="007F75E1"/>
    <w:pPr>
      <w:tabs>
        <w:tab w:val="center" w:pos="4320"/>
        <w:tab w:val="right" w:pos="8640"/>
      </w:tabs>
    </w:pPr>
  </w:style>
  <w:style w:type="character" w:customStyle="1" w:styleId="HeaderChar">
    <w:name w:val="Header Char"/>
    <w:basedOn w:val="DefaultParagraphFont"/>
    <w:link w:val="Header"/>
    <w:uiPriority w:val="99"/>
    <w:rsid w:val="007F75E1"/>
  </w:style>
  <w:style w:type="character" w:styleId="PageNumber">
    <w:name w:val="page number"/>
    <w:basedOn w:val="DefaultParagraphFont"/>
    <w:uiPriority w:val="99"/>
    <w:semiHidden/>
    <w:unhideWhenUsed/>
    <w:rsid w:val="007F75E1"/>
  </w:style>
  <w:style w:type="paragraph" w:styleId="Footer">
    <w:name w:val="footer"/>
    <w:basedOn w:val="Normal"/>
    <w:link w:val="FooterChar"/>
    <w:uiPriority w:val="99"/>
    <w:unhideWhenUsed/>
    <w:rsid w:val="007F75E1"/>
    <w:pPr>
      <w:tabs>
        <w:tab w:val="center" w:pos="4320"/>
        <w:tab w:val="right" w:pos="8640"/>
      </w:tabs>
    </w:pPr>
  </w:style>
  <w:style w:type="character" w:customStyle="1" w:styleId="FooterChar">
    <w:name w:val="Footer Char"/>
    <w:basedOn w:val="DefaultParagraphFont"/>
    <w:link w:val="Footer"/>
    <w:uiPriority w:val="99"/>
    <w:rsid w:val="007F75E1"/>
  </w:style>
  <w:style w:type="paragraph" w:styleId="NoSpacing">
    <w:name w:val="No Spacing"/>
    <w:uiPriority w:val="1"/>
    <w:qFormat/>
    <w:rsid w:val="000D79F0"/>
  </w:style>
  <w:style w:type="paragraph" w:styleId="EndnoteText">
    <w:name w:val="endnote text"/>
    <w:basedOn w:val="Normal"/>
    <w:link w:val="EndnoteTextChar"/>
    <w:uiPriority w:val="99"/>
    <w:unhideWhenUsed/>
    <w:rsid w:val="0030368F"/>
  </w:style>
  <w:style w:type="character" w:customStyle="1" w:styleId="EndnoteTextChar">
    <w:name w:val="Endnote Text Char"/>
    <w:basedOn w:val="DefaultParagraphFont"/>
    <w:link w:val="EndnoteText"/>
    <w:uiPriority w:val="99"/>
    <w:rsid w:val="0030368F"/>
  </w:style>
  <w:style w:type="character" w:styleId="EndnoteReference">
    <w:name w:val="endnote reference"/>
    <w:basedOn w:val="DefaultParagraphFont"/>
    <w:uiPriority w:val="99"/>
    <w:unhideWhenUsed/>
    <w:rsid w:val="0030368F"/>
    <w:rPr>
      <w:vertAlign w:val="superscript"/>
    </w:rPr>
  </w:style>
  <w:style w:type="paragraph" w:styleId="FootnoteText">
    <w:name w:val="footnote text"/>
    <w:basedOn w:val="Normal"/>
    <w:link w:val="FootnoteTextChar"/>
    <w:uiPriority w:val="99"/>
    <w:unhideWhenUsed/>
    <w:rsid w:val="0030368F"/>
  </w:style>
  <w:style w:type="character" w:customStyle="1" w:styleId="FootnoteTextChar">
    <w:name w:val="Footnote Text Char"/>
    <w:basedOn w:val="DefaultParagraphFont"/>
    <w:link w:val="FootnoteText"/>
    <w:uiPriority w:val="99"/>
    <w:rsid w:val="0030368F"/>
  </w:style>
  <w:style w:type="character" w:styleId="FootnoteReference">
    <w:name w:val="footnote reference"/>
    <w:basedOn w:val="DefaultParagraphFont"/>
    <w:uiPriority w:val="99"/>
    <w:unhideWhenUsed/>
    <w:rsid w:val="0030368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4F"/>
    <w:pPr>
      <w:ind w:left="720"/>
      <w:contextualSpacing/>
    </w:pPr>
  </w:style>
  <w:style w:type="paragraph" w:styleId="Header">
    <w:name w:val="header"/>
    <w:basedOn w:val="Normal"/>
    <w:link w:val="HeaderChar"/>
    <w:uiPriority w:val="99"/>
    <w:unhideWhenUsed/>
    <w:rsid w:val="007F75E1"/>
    <w:pPr>
      <w:tabs>
        <w:tab w:val="center" w:pos="4320"/>
        <w:tab w:val="right" w:pos="8640"/>
      </w:tabs>
    </w:pPr>
  </w:style>
  <w:style w:type="character" w:customStyle="1" w:styleId="HeaderChar">
    <w:name w:val="Header Char"/>
    <w:basedOn w:val="DefaultParagraphFont"/>
    <w:link w:val="Header"/>
    <w:uiPriority w:val="99"/>
    <w:rsid w:val="007F75E1"/>
  </w:style>
  <w:style w:type="character" w:styleId="PageNumber">
    <w:name w:val="page number"/>
    <w:basedOn w:val="DefaultParagraphFont"/>
    <w:uiPriority w:val="99"/>
    <w:semiHidden/>
    <w:unhideWhenUsed/>
    <w:rsid w:val="007F75E1"/>
  </w:style>
  <w:style w:type="paragraph" w:styleId="Footer">
    <w:name w:val="footer"/>
    <w:basedOn w:val="Normal"/>
    <w:link w:val="FooterChar"/>
    <w:uiPriority w:val="99"/>
    <w:unhideWhenUsed/>
    <w:rsid w:val="007F75E1"/>
    <w:pPr>
      <w:tabs>
        <w:tab w:val="center" w:pos="4320"/>
        <w:tab w:val="right" w:pos="8640"/>
      </w:tabs>
    </w:pPr>
  </w:style>
  <w:style w:type="character" w:customStyle="1" w:styleId="FooterChar">
    <w:name w:val="Footer Char"/>
    <w:basedOn w:val="DefaultParagraphFont"/>
    <w:link w:val="Footer"/>
    <w:uiPriority w:val="99"/>
    <w:rsid w:val="007F75E1"/>
  </w:style>
  <w:style w:type="paragraph" w:styleId="NoSpacing">
    <w:name w:val="No Spacing"/>
    <w:uiPriority w:val="1"/>
    <w:qFormat/>
    <w:rsid w:val="000D79F0"/>
  </w:style>
  <w:style w:type="paragraph" w:styleId="EndnoteText">
    <w:name w:val="endnote text"/>
    <w:basedOn w:val="Normal"/>
    <w:link w:val="EndnoteTextChar"/>
    <w:uiPriority w:val="99"/>
    <w:unhideWhenUsed/>
    <w:rsid w:val="0030368F"/>
  </w:style>
  <w:style w:type="character" w:customStyle="1" w:styleId="EndnoteTextChar">
    <w:name w:val="Endnote Text Char"/>
    <w:basedOn w:val="DefaultParagraphFont"/>
    <w:link w:val="EndnoteText"/>
    <w:uiPriority w:val="99"/>
    <w:rsid w:val="0030368F"/>
  </w:style>
  <w:style w:type="character" w:styleId="EndnoteReference">
    <w:name w:val="endnote reference"/>
    <w:basedOn w:val="DefaultParagraphFont"/>
    <w:uiPriority w:val="99"/>
    <w:unhideWhenUsed/>
    <w:rsid w:val="0030368F"/>
    <w:rPr>
      <w:vertAlign w:val="superscript"/>
    </w:rPr>
  </w:style>
  <w:style w:type="paragraph" w:styleId="FootnoteText">
    <w:name w:val="footnote text"/>
    <w:basedOn w:val="Normal"/>
    <w:link w:val="FootnoteTextChar"/>
    <w:uiPriority w:val="99"/>
    <w:unhideWhenUsed/>
    <w:rsid w:val="0030368F"/>
  </w:style>
  <w:style w:type="character" w:customStyle="1" w:styleId="FootnoteTextChar">
    <w:name w:val="Footnote Text Char"/>
    <w:basedOn w:val="DefaultParagraphFont"/>
    <w:link w:val="FootnoteText"/>
    <w:uiPriority w:val="99"/>
    <w:rsid w:val="0030368F"/>
  </w:style>
  <w:style w:type="character" w:styleId="FootnoteReference">
    <w:name w:val="footnote reference"/>
    <w:basedOn w:val="DefaultParagraphFont"/>
    <w:uiPriority w:val="99"/>
    <w:unhideWhenUsed/>
    <w:rsid w:val="00303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6467-30AE-624A-B3F5-38438E4A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14</Pages>
  <Words>2977</Words>
  <Characters>16974</Characters>
  <Application>Microsoft Macintosh Word</Application>
  <DocSecurity>0</DocSecurity>
  <Lines>141</Lines>
  <Paragraphs>39</Paragraphs>
  <ScaleCrop>false</ScaleCrop>
  <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Parent 🙈🙆🏻</dc:creator>
  <cp:keywords/>
  <dc:description/>
  <cp:lastModifiedBy>Leah Parent 🙈🙆🏻</cp:lastModifiedBy>
  <cp:revision>217</cp:revision>
  <dcterms:created xsi:type="dcterms:W3CDTF">2016-11-12T14:50:00Z</dcterms:created>
  <dcterms:modified xsi:type="dcterms:W3CDTF">2016-11-23T22:42:00Z</dcterms:modified>
</cp:coreProperties>
</file>